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D26B1">
      <w:pPr>
        <w:numPr>
          <w:ilvl w:val="0"/>
          <w:numId w:val="1"/>
        </w:numPr>
        <w:spacing w:line="360" w:lineRule="auto"/>
        <w:jc w:val="center"/>
        <w:outlineLvl w:val="0"/>
        <w:rPr>
          <w:rFonts w:ascii="宋体" w:hAnsi="宋体" w:cs="宋体"/>
          <w:b/>
          <w:sz w:val="32"/>
          <w:szCs w:val="32"/>
        </w:rPr>
      </w:pPr>
      <w:bookmarkStart w:id="0" w:name="_Toc32481"/>
      <w:r>
        <w:rPr>
          <w:rFonts w:hint="eastAsia" w:ascii="宋体" w:hAnsi="宋体" w:cs="宋体"/>
          <w:b/>
          <w:sz w:val="32"/>
          <w:szCs w:val="32"/>
        </w:rPr>
        <w:t>采购项目要求</w:t>
      </w:r>
      <w:bookmarkEnd w:id="0"/>
    </w:p>
    <w:p w14:paraId="684B0DB9">
      <w:pPr>
        <w:pStyle w:val="2"/>
        <w:rPr>
          <w:rFonts w:ascii="宋体" w:hAnsi="宋体" w:cs="宋体"/>
        </w:rPr>
      </w:pPr>
    </w:p>
    <w:p w14:paraId="6D474128">
      <w:pPr>
        <w:spacing w:line="560" w:lineRule="exact"/>
        <w:rPr>
          <w:rFonts w:ascii="宋体" w:hAnsi="宋体" w:cs="宋体"/>
          <w:b/>
          <w:sz w:val="28"/>
          <w:szCs w:val="28"/>
        </w:rPr>
      </w:pPr>
      <w:r>
        <w:rPr>
          <w:rFonts w:hint="eastAsia" w:ascii="宋体" w:hAnsi="宋体" w:cs="宋体"/>
          <w:b/>
          <w:sz w:val="28"/>
          <w:szCs w:val="28"/>
        </w:rPr>
        <w:t>一、采购项目简要说明</w:t>
      </w:r>
    </w:p>
    <w:p w14:paraId="64794B7F">
      <w:pPr>
        <w:spacing w:line="360" w:lineRule="auto"/>
        <w:ind w:firstLine="480" w:firstLineChars="200"/>
        <w:jc w:val="left"/>
        <w:outlineLvl w:val="1"/>
        <w:rPr>
          <w:rFonts w:ascii="宋体" w:hAnsi="宋体" w:cs="宋体"/>
          <w:sz w:val="24"/>
          <w:szCs w:val="24"/>
        </w:rPr>
      </w:pPr>
      <w:r>
        <w:rPr>
          <w:rFonts w:hint="eastAsia" w:ascii="宋体" w:hAnsi="宋体" w:cs="宋体"/>
          <w:sz w:val="24"/>
          <w:szCs w:val="24"/>
        </w:rPr>
        <w:t>1．采购人：如东县中医院。</w:t>
      </w:r>
    </w:p>
    <w:p w14:paraId="3BE26F21">
      <w:pPr>
        <w:spacing w:line="360" w:lineRule="auto"/>
        <w:jc w:val="left"/>
        <w:outlineLvl w:val="1"/>
        <w:rPr>
          <w:rFonts w:ascii="宋体" w:hAnsi="宋体" w:cs="宋体"/>
          <w:sz w:val="24"/>
          <w:szCs w:val="24"/>
        </w:rPr>
      </w:pPr>
      <w:r>
        <w:rPr>
          <w:rFonts w:hint="eastAsia" w:ascii="宋体" w:hAnsi="宋体" w:cs="宋体"/>
          <w:sz w:val="24"/>
          <w:szCs w:val="24"/>
        </w:rPr>
        <w:t>　　2．项目名称：</w:t>
      </w:r>
      <w:r>
        <w:rPr>
          <w:rFonts w:hint="eastAsia" w:ascii="宋体" w:hAnsi="宋体" w:cs="宋体"/>
          <w:sz w:val="24"/>
          <w:szCs w:val="24"/>
          <w:lang w:eastAsia="zh-CN"/>
        </w:rPr>
        <w:t>心电系统升级</w:t>
      </w:r>
      <w:r>
        <w:rPr>
          <w:rFonts w:hint="eastAsia" w:ascii="宋体" w:hAnsi="宋体" w:cs="宋体"/>
          <w:sz w:val="24"/>
          <w:szCs w:val="24"/>
        </w:rPr>
        <w:t>。</w:t>
      </w:r>
    </w:p>
    <w:p w14:paraId="794EC46D">
      <w:pPr>
        <w:spacing w:line="360" w:lineRule="auto"/>
        <w:ind w:firstLine="480"/>
        <w:jc w:val="left"/>
        <w:outlineLvl w:val="1"/>
        <w:rPr>
          <w:rFonts w:hint="eastAsia" w:ascii="宋体" w:hAnsi="宋体" w:cs="宋体"/>
          <w:b/>
          <w:bCs/>
          <w:sz w:val="24"/>
          <w:szCs w:val="24"/>
        </w:rPr>
      </w:pPr>
      <w:r>
        <w:rPr>
          <w:rFonts w:hint="eastAsia" w:ascii="宋体" w:hAnsi="宋体" w:cs="宋体"/>
          <w:b/>
          <w:bCs/>
          <w:sz w:val="24"/>
          <w:szCs w:val="24"/>
        </w:rPr>
        <w:t>3．采购预算：</w:t>
      </w:r>
      <w:r>
        <w:rPr>
          <w:rFonts w:hint="eastAsia" w:ascii="宋体" w:hAnsi="宋体" w:cs="宋体"/>
          <w:b/>
          <w:bCs/>
          <w:sz w:val="24"/>
          <w:szCs w:val="24"/>
          <w:lang w:eastAsia="zh-CN"/>
        </w:rPr>
        <w:t>28万元</w:t>
      </w:r>
      <w:r>
        <w:rPr>
          <w:rFonts w:hint="eastAsia" w:ascii="宋体" w:hAnsi="宋体" w:cs="宋体"/>
          <w:b/>
          <w:bCs/>
          <w:sz w:val="24"/>
          <w:szCs w:val="24"/>
        </w:rPr>
        <w:t>。</w:t>
      </w:r>
    </w:p>
    <w:p w14:paraId="72C86FA6">
      <w:pPr>
        <w:pStyle w:val="2"/>
        <w:ind w:firstLine="480"/>
      </w:pPr>
      <w:r>
        <w:rPr>
          <w:rFonts w:hint="eastAsia" w:ascii="宋体" w:hAnsi="宋体" w:cs="宋体"/>
          <w:bCs/>
          <w:sz w:val="24"/>
        </w:rPr>
        <w:t>4</w:t>
      </w:r>
      <w:r>
        <w:rPr>
          <w:rFonts w:hint="eastAsia" w:ascii="宋体" w:hAnsi="宋体" w:cs="宋体"/>
          <w:b/>
          <w:bCs/>
          <w:sz w:val="24"/>
        </w:rPr>
        <w:t>．</w:t>
      </w:r>
      <w:r>
        <w:rPr>
          <w:rFonts w:hint="eastAsia" w:ascii="宋体" w:hAnsi="宋体" w:cs="宋体"/>
          <w:bCs/>
          <w:sz w:val="24"/>
        </w:rPr>
        <w:t>投标文件必须提供“正本”一套、“副本”三套，</w:t>
      </w:r>
      <w:r>
        <w:rPr>
          <w:rFonts w:hint="eastAsia" w:ascii="宋体" w:hAnsi="宋体" w:cs="宋体"/>
          <w:sz w:val="24"/>
        </w:rPr>
        <w:t>用档案袋密封，封面注明采购项目名称、投标人全称、及“正本、副本”字样。</w:t>
      </w:r>
    </w:p>
    <w:p w14:paraId="5E3F7670">
      <w:pPr>
        <w:pStyle w:val="2"/>
        <w:spacing w:line="560" w:lineRule="exact"/>
        <w:rPr>
          <w:rFonts w:ascii="宋体" w:hAnsi="宋体" w:cs="宋体"/>
          <w:b/>
          <w:bCs/>
          <w:szCs w:val="28"/>
        </w:rPr>
      </w:pPr>
      <w:r>
        <w:rPr>
          <w:rFonts w:hint="eastAsia" w:ascii="宋体" w:hAnsi="宋体" w:cs="宋体"/>
          <w:b/>
          <w:bCs/>
          <w:szCs w:val="28"/>
        </w:rPr>
        <w:t>二、本次采购主要内容：</w:t>
      </w:r>
    </w:p>
    <w:tbl>
      <w:tblPr>
        <w:tblStyle w:val="44"/>
        <w:tblW w:w="10118" w:type="dxa"/>
        <w:jc w:val="center"/>
        <w:tblLayout w:type="autofit"/>
        <w:tblCellMar>
          <w:top w:w="0" w:type="dxa"/>
          <w:left w:w="0" w:type="dxa"/>
          <w:bottom w:w="0" w:type="dxa"/>
          <w:right w:w="0" w:type="dxa"/>
        </w:tblCellMar>
      </w:tblPr>
      <w:tblGrid>
        <w:gridCol w:w="1053"/>
        <w:gridCol w:w="2610"/>
        <w:gridCol w:w="1200"/>
        <w:gridCol w:w="900"/>
        <w:gridCol w:w="703"/>
        <w:gridCol w:w="1127"/>
        <w:gridCol w:w="2525"/>
      </w:tblGrid>
      <w:tr w14:paraId="5EE5506E">
        <w:tblPrEx>
          <w:tblCellMar>
            <w:top w:w="0" w:type="dxa"/>
            <w:left w:w="0" w:type="dxa"/>
            <w:bottom w:w="0" w:type="dxa"/>
            <w:right w:w="0" w:type="dxa"/>
          </w:tblCellMar>
        </w:tblPrEx>
        <w:trPr>
          <w:trHeight w:val="274" w:hRule="atLeast"/>
          <w:jc w:val="center"/>
        </w:trPr>
        <w:tc>
          <w:tcPr>
            <w:tcW w:w="10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04E1B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序号</w:t>
            </w:r>
          </w:p>
        </w:tc>
        <w:tc>
          <w:tcPr>
            <w:tcW w:w="2610" w:type="dxa"/>
            <w:tcBorders>
              <w:top w:val="single" w:color="auto" w:sz="8" w:space="0"/>
              <w:left w:val="nil"/>
              <w:bottom w:val="single" w:color="auto" w:sz="4" w:space="0"/>
              <w:right w:val="single" w:color="auto" w:sz="4" w:space="0"/>
            </w:tcBorders>
            <w:tcMar>
              <w:top w:w="0" w:type="dxa"/>
              <w:left w:w="108" w:type="dxa"/>
              <w:bottom w:w="0" w:type="dxa"/>
              <w:right w:w="108" w:type="dxa"/>
            </w:tcMar>
            <w:vAlign w:val="center"/>
          </w:tcPr>
          <w:p w14:paraId="582BFD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项目名称</w:t>
            </w:r>
          </w:p>
        </w:tc>
        <w:tc>
          <w:tcPr>
            <w:tcW w:w="1200" w:type="dxa"/>
            <w:tcBorders>
              <w:top w:val="single" w:color="auto" w:sz="8" w:space="0"/>
              <w:left w:val="nil"/>
              <w:bottom w:val="single" w:color="auto" w:sz="4" w:space="0"/>
              <w:right w:val="single" w:color="auto" w:sz="4" w:space="0"/>
            </w:tcBorders>
            <w:vAlign w:val="center"/>
          </w:tcPr>
          <w:p w14:paraId="7D80FC5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单位</w:t>
            </w:r>
          </w:p>
        </w:tc>
        <w:tc>
          <w:tcPr>
            <w:tcW w:w="900" w:type="dxa"/>
            <w:tcBorders>
              <w:top w:val="single" w:color="auto" w:sz="8" w:space="0"/>
              <w:left w:val="nil"/>
              <w:bottom w:val="single" w:color="auto" w:sz="4" w:space="0"/>
              <w:right w:val="single" w:color="auto" w:sz="4" w:space="0"/>
            </w:tcBorders>
            <w:vAlign w:val="center"/>
          </w:tcPr>
          <w:p w14:paraId="657156E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数量</w:t>
            </w:r>
          </w:p>
        </w:tc>
        <w:tc>
          <w:tcPr>
            <w:tcW w:w="703" w:type="dxa"/>
            <w:tcBorders>
              <w:top w:val="single" w:color="auto" w:sz="8" w:space="0"/>
              <w:left w:val="nil"/>
              <w:bottom w:val="single" w:color="auto" w:sz="4" w:space="0"/>
              <w:right w:val="single" w:color="auto" w:sz="4" w:space="0"/>
            </w:tcBorders>
            <w:vAlign w:val="center"/>
          </w:tcPr>
          <w:p w14:paraId="4679F7F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szCs w:val="21"/>
              </w:rPr>
            </w:pPr>
            <w:r>
              <w:rPr>
                <w:rFonts w:hint="eastAsia" w:ascii="宋体" w:hAnsi="宋体" w:cs="宋体"/>
                <w:szCs w:val="21"/>
              </w:rPr>
              <w:t>产地</w:t>
            </w:r>
          </w:p>
        </w:tc>
        <w:tc>
          <w:tcPr>
            <w:tcW w:w="1127" w:type="dxa"/>
            <w:tcBorders>
              <w:top w:val="single" w:color="auto" w:sz="8" w:space="0"/>
              <w:left w:val="single" w:color="auto" w:sz="4" w:space="0"/>
              <w:bottom w:val="single" w:color="auto" w:sz="4" w:space="0"/>
              <w:right w:val="single" w:color="auto" w:sz="4" w:space="0"/>
            </w:tcBorders>
            <w:vAlign w:val="center"/>
          </w:tcPr>
          <w:p w14:paraId="13E1F9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原厂保修期</w:t>
            </w:r>
          </w:p>
        </w:tc>
        <w:tc>
          <w:tcPr>
            <w:tcW w:w="2525" w:type="dxa"/>
            <w:tcBorders>
              <w:top w:val="single" w:color="auto" w:sz="8" w:space="0"/>
              <w:left w:val="single" w:color="auto" w:sz="4" w:space="0"/>
              <w:bottom w:val="single" w:color="auto" w:sz="4" w:space="0"/>
              <w:right w:val="single" w:color="auto" w:sz="4" w:space="0"/>
            </w:tcBorders>
            <w:vAlign w:val="center"/>
          </w:tcPr>
          <w:p w14:paraId="000B970E">
            <w:pPr>
              <w:jc w:val="left"/>
              <w:rPr>
                <w:rFonts w:ascii="宋体" w:hAnsi="宋体" w:cs="宋体"/>
                <w:color w:val="000000"/>
                <w:sz w:val="24"/>
                <w:szCs w:val="24"/>
              </w:rPr>
            </w:pPr>
            <w:r>
              <w:rPr>
                <w:rFonts w:hint="eastAsia" w:ascii="宋体" w:hAnsi="宋体" w:cs="宋体"/>
                <w:color w:val="000000"/>
                <w:sz w:val="24"/>
                <w:szCs w:val="24"/>
              </w:rPr>
              <w:t>交货时间地点</w:t>
            </w:r>
          </w:p>
        </w:tc>
      </w:tr>
      <w:tr w14:paraId="165204DE">
        <w:tblPrEx>
          <w:tblCellMar>
            <w:top w:w="0" w:type="dxa"/>
            <w:left w:w="0" w:type="dxa"/>
            <w:bottom w:w="0" w:type="dxa"/>
            <w:right w:w="0" w:type="dxa"/>
          </w:tblCellMar>
        </w:tblPrEx>
        <w:trPr>
          <w:trHeight w:val="750" w:hRule="atLeast"/>
          <w:jc w:val="center"/>
        </w:trPr>
        <w:tc>
          <w:tcPr>
            <w:tcW w:w="1053"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6619253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1</w:t>
            </w:r>
          </w:p>
        </w:tc>
        <w:tc>
          <w:tcPr>
            <w:tcW w:w="2610" w:type="dxa"/>
            <w:tcBorders>
              <w:top w:val="nil"/>
              <w:left w:val="nil"/>
              <w:bottom w:val="single" w:color="auto" w:sz="4" w:space="0"/>
              <w:right w:val="single" w:color="auto" w:sz="4" w:space="0"/>
            </w:tcBorders>
            <w:tcMar>
              <w:top w:w="0" w:type="dxa"/>
              <w:left w:w="108" w:type="dxa"/>
              <w:bottom w:w="0" w:type="dxa"/>
              <w:right w:w="108" w:type="dxa"/>
            </w:tcMar>
            <w:vAlign w:val="center"/>
          </w:tcPr>
          <w:p w14:paraId="020357F8">
            <w:pPr>
              <w:spacing w:line="500" w:lineRule="exact"/>
              <w:jc w:val="center"/>
              <w:rPr>
                <w:rFonts w:hint="eastAsia" w:ascii="宋体" w:hAnsi="宋体" w:eastAsia="宋体" w:cs="宋体"/>
                <w:color w:val="000000"/>
                <w:szCs w:val="21"/>
                <w:lang w:eastAsia="zh-CN"/>
              </w:rPr>
            </w:pPr>
            <w:r>
              <w:rPr>
                <w:rFonts w:hint="eastAsia" w:ascii="宋体" w:hAnsi="宋体" w:cs="宋体"/>
                <w:sz w:val="24"/>
                <w:szCs w:val="24"/>
                <w:lang w:eastAsia="zh-CN"/>
              </w:rPr>
              <w:t>心电系统升级</w:t>
            </w:r>
          </w:p>
        </w:tc>
        <w:tc>
          <w:tcPr>
            <w:tcW w:w="1200" w:type="dxa"/>
            <w:tcBorders>
              <w:top w:val="nil"/>
              <w:left w:val="nil"/>
              <w:bottom w:val="single" w:color="auto" w:sz="4" w:space="0"/>
              <w:right w:val="single" w:color="auto" w:sz="4" w:space="0"/>
            </w:tcBorders>
            <w:vAlign w:val="center"/>
          </w:tcPr>
          <w:p w14:paraId="539C3E96">
            <w:pPr>
              <w:spacing w:line="500" w:lineRule="exact"/>
              <w:jc w:val="center"/>
              <w:rPr>
                <w:rFonts w:ascii="宋体" w:hAnsi="宋体" w:cs="宋体"/>
                <w:color w:val="000000"/>
                <w:szCs w:val="21"/>
              </w:rPr>
            </w:pPr>
            <w:r>
              <w:rPr>
                <w:rFonts w:hint="eastAsia" w:ascii="宋体" w:hAnsi="宋体" w:cs="宋体"/>
                <w:color w:val="000000"/>
                <w:szCs w:val="21"/>
              </w:rPr>
              <w:t>套</w:t>
            </w:r>
          </w:p>
        </w:tc>
        <w:tc>
          <w:tcPr>
            <w:tcW w:w="900" w:type="dxa"/>
            <w:tcBorders>
              <w:top w:val="nil"/>
              <w:left w:val="nil"/>
              <w:bottom w:val="single" w:color="auto" w:sz="4" w:space="0"/>
              <w:right w:val="single" w:color="auto" w:sz="4" w:space="0"/>
            </w:tcBorders>
            <w:vAlign w:val="center"/>
          </w:tcPr>
          <w:p w14:paraId="1A6B00C7">
            <w:pPr>
              <w:spacing w:line="500" w:lineRule="exact"/>
              <w:jc w:val="center"/>
              <w:rPr>
                <w:rFonts w:ascii="宋体" w:hAnsi="宋体" w:cs="宋体"/>
                <w:color w:val="000000"/>
                <w:szCs w:val="21"/>
              </w:rPr>
            </w:pPr>
            <w:r>
              <w:rPr>
                <w:rFonts w:hint="eastAsia" w:ascii="宋体" w:hAnsi="宋体" w:cs="宋体"/>
                <w:color w:val="000000"/>
                <w:szCs w:val="21"/>
              </w:rPr>
              <w:t>1</w:t>
            </w:r>
          </w:p>
        </w:tc>
        <w:tc>
          <w:tcPr>
            <w:tcW w:w="703" w:type="dxa"/>
            <w:tcBorders>
              <w:top w:val="nil"/>
              <w:left w:val="nil"/>
              <w:bottom w:val="single" w:color="auto" w:sz="4" w:space="0"/>
              <w:right w:val="single" w:color="auto" w:sz="4" w:space="0"/>
            </w:tcBorders>
            <w:vAlign w:val="center"/>
          </w:tcPr>
          <w:p w14:paraId="6C6B0191">
            <w:pPr>
              <w:spacing w:line="500" w:lineRule="exact"/>
              <w:jc w:val="center"/>
              <w:rPr>
                <w:rFonts w:ascii="宋体" w:hAnsi="宋体" w:cs="宋体"/>
                <w:szCs w:val="21"/>
              </w:rPr>
            </w:pPr>
            <w:r>
              <w:rPr>
                <w:rFonts w:hint="eastAsia" w:ascii="宋体" w:hAnsi="宋体" w:cs="宋体"/>
                <w:szCs w:val="21"/>
              </w:rPr>
              <w:t>国产</w:t>
            </w:r>
          </w:p>
        </w:tc>
        <w:tc>
          <w:tcPr>
            <w:tcW w:w="1127" w:type="dxa"/>
            <w:tcBorders>
              <w:top w:val="nil"/>
              <w:left w:val="single" w:color="auto" w:sz="4" w:space="0"/>
              <w:bottom w:val="single" w:color="auto" w:sz="4" w:space="0"/>
              <w:right w:val="single" w:color="auto" w:sz="4" w:space="0"/>
            </w:tcBorders>
            <w:vAlign w:val="center"/>
          </w:tcPr>
          <w:p w14:paraId="1FDA3C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1年</w:t>
            </w:r>
          </w:p>
        </w:tc>
        <w:tc>
          <w:tcPr>
            <w:tcW w:w="2525" w:type="dxa"/>
            <w:tcBorders>
              <w:top w:val="nil"/>
              <w:left w:val="single" w:color="auto" w:sz="4" w:space="0"/>
              <w:bottom w:val="single" w:color="auto" w:sz="4" w:space="0"/>
              <w:right w:val="single" w:color="auto" w:sz="4" w:space="0"/>
            </w:tcBorders>
            <w:vAlign w:val="center"/>
          </w:tcPr>
          <w:p w14:paraId="3FFAEB62">
            <w:pPr>
              <w:jc w:val="left"/>
              <w:rPr>
                <w:rFonts w:ascii="宋体" w:hAnsi="宋体" w:cs="宋体"/>
                <w:color w:val="000000"/>
                <w:sz w:val="24"/>
                <w:szCs w:val="24"/>
              </w:rPr>
            </w:pPr>
            <w:r>
              <w:rPr>
                <w:rFonts w:hint="eastAsia" w:ascii="宋体" w:hAnsi="宋体" w:cs="宋体"/>
                <w:color w:val="000000"/>
                <w:sz w:val="24"/>
                <w:szCs w:val="24"/>
              </w:rPr>
              <w:t>如东县中医院指定地点</w:t>
            </w:r>
          </w:p>
        </w:tc>
      </w:tr>
    </w:tbl>
    <w:p w14:paraId="121E8FD1">
      <w:pPr>
        <w:pStyle w:val="2"/>
        <w:numPr>
          <w:ilvl w:val="0"/>
          <w:numId w:val="2"/>
        </w:numPr>
        <w:spacing w:line="360" w:lineRule="auto"/>
        <w:rPr>
          <w:rFonts w:ascii="宋体" w:hAnsi="宋体" w:cs="宋体"/>
          <w:b/>
          <w:bCs/>
          <w:szCs w:val="28"/>
        </w:rPr>
      </w:pPr>
      <w:r>
        <w:rPr>
          <w:rFonts w:hint="eastAsia" w:ascii="宋体" w:hAnsi="宋体" w:cs="宋体"/>
          <w:b/>
          <w:bCs/>
          <w:color w:val="000000"/>
          <w:szCs w:val="28"/>
        </w:rPr>
        <w:t>技术参数要求：</w:t>
      </w:r>
      <w:bookmarkStart w:id="1" w:name="_Toc735"/>
    </w:p>
    <w:p w14:paraId="752098CF">
      <w:pPr>
        <w:spacing w:line="360" w:lineRule="auto"/>
        <w:ind w:firstLine="482" w:firstLineChars="200"/>
        <w:jc w:val="left"/>
        <w:rPr>
          <w:rFonts w:ascii="宋体" w:hAnsi="宋体" w:cs="宋体"/>
          <w:sz w:val="24"/>
          <w:szCs w:val="24"/>
        </w:rPr>
      </w:pPr>
      <w:bookmarkStart w:id="2" w:name="_Toc180058379"/>
      <w:r>
        <w:rPr>
          <w:rFonts w:hint="eastAsia" w:ascii="宋体" w:hAnsi="宋体" w:cs="宋体"/>
          <w:b/>
          <w:sz w:val="24"/>
          <w:szCs w:val="24"/>
        </w:rPr>
        <w:t>付款方式：</w:t>
      </w:r>
      <w:r>
        <w:rPr>
          <w:rFonts w:hint="eastAsia" w:ascii="宋体" w:hAnsi="宋体" w:cs="宋体"/>
          <w:sz w:val="24"/>
          <w:szCs w:val="24"/>
        </w:rPr>
        <w:t>现场谈判</w:t>
      </w:r>
    </w:p>
    <w:p w14:paraId="6A25D833">
      <w:pPr>
        <w:spacing w:line="360" w:lineRule="auto"/>
        <w:ind w:firstLine="241" w:firstLineChars="100"/>
        <w:jc w:val="left"/>
        <w:rPr>
          <w:rFonts w:ascii="宋体" w:hAnsi="宋体" w:cs="宋体"/>
          <w:b/>
          <w:sz w:val="24"/>
          <w:szCs w:val="24"/>
        </w:rPr>
      </w:pPr>
      <w:bookmarkStart w:id="6" w:name="_GoBack"/>
      <w:bookmarkEnd w:id="6"/>
      <w:r>
        <w:rPr>
          <w:rFonts w:hint="eastAsia" w:ascii="宋体" w:hAnsi="宋体" w:cs="宋体"/>
          <w:b/>
          <w:sz w:val="24"/>
          <w:szCs w:val="24"/>
        </w:rPr>
        <w:t>总</w:t>
      </w:r>
      <w:r>
        <w:rPr>
          <w:rFonts w:ascii="宋体" w:hAnsi="宋体" w:cs="宋体"/>
          <w:b/>
          <w:sz w:val="24"/>
          <w:szCs w:val="24"/>
        </w:rPr>
        <w:t>体</w:t>
      </w:r>
      <w:r>
        <w:rPr>
          <w:rFonts w:hint="eastAsia" w:ascii="宋体" w:hAnsi="宋体" w:cs="宋体"/>
          <w:b/>
          <w:sz w:val="24"/>
          <w:szCs w:val="24"/>
        </w:rPr>
        <w:t>要求</w:t>
      </w:r>
    </w:p>
    <w:p w14:paraId="304E08DA">
      <w:pPr>
        <w:spacing w:line="360" w:lineRule="auto"/>
        <w:ind w:firstLine="480" w:firstLineChars="200"/>
        <w:jc w:val="left"/>
        <w:rPr>
          <w:rFonts w:ascii="宋体" w:hAnsi="宋体" w:cs="宋体"/>
          <w:sz w:val="24"/>
          <w:szCs w:val="24"/>
        </w:rPr>
      </w:pPr>
      <w:r>
        <w:rPr>
          <w:rFonts w:hint="eastAsia" w:ascii="宋体" w:hAnsi="宋体" w:cs="宋体"/>
          <w:sz w:val="24"/>
          <w:szCs w:val="24"/>
        </w:rPr>
        <w:t>1.医院</w:t>
      </w:r>
      <w:r>
        <w:rPr>
          <w:rFonts w:ascii="宋体" w:hAnsi="宋体" w:cs="宋体"/>
          <w:sz w:val="24"/>
          <w:szCs w:val="24"/>
        </w:rPr>
        <w:t>原有功能全部保留</w:t>
      </w:r>
      <w:r>
        <w:rPr>
          <w:rFonts w:hint="eastAsia" w:ascii="宋体" w:hAnsi="宋体" w:cs="宋体"/>
          <w:sz w:val="24"/>
          <w:szCs w:val="24"/>
        </w:rPr>
        <w:t>，保证信息系统</w:t>
      </w:r>
      <w:r>
        <w:rPr>
          <w:rFonts w:ascii="宋体" w:hAnsi="宋体" w:cs="宋体"/>
          <w:sz w:val="24"/>
          <w:szCs w:val="24"/>
        </w:rPr>
        <w:t>是最新版本</w:t>
      </w:r>
      <w:r>
        <w:rPr>
          <w:rFonts w:hint="eastAsia" w:ascii="宋体" w:hAnsi="宋体" w:cs="宋体"/>
          <w:sz w:val="24"/>
          <w:szCs w:val="24"/>
        </w:rPr>
        <w:t>，满足</w:t>
      </w:r>
      <w:r>
        <w:rPr>
          <w:rFonts w:ascii="宋体" w:hAnsi="宋体" w:cs="宋体"/>
          <w:sz w:val="24"/>
          <w:szCs w:val="24"/>
        </w:rPr>
        <w:t>中医医院中医考核指标的要求，</w:t>
      </w:r>
      <w:r>
        <w:rPr>
          <w:rFonts w:hint="eastAsia" w:ascii="宋体" w:hAnsi="宋体" w:cs="宋体"/>
          <w:sz w:val="24"/>
          <w:szCs w:val="24"/>
        </w:rPr>
        <w:t>并完全符合调研论证文件的要求。</w:t>
      </w:r>
    </w:p>
    <w:p w14:paraId="3D2DD56C">
      <w:pPr>
        <w:spacing w:line="360" w:lineRule="auto"/>
        <w:ind w:firstLine="480" w:firstLineChars="200"/>
        <w:jc w:val="left"/>
        <w:rPr>
          <w:rFonts w:ascii="宋体" w:hAnsi="宋体" w:cs="宋体"/>
          <w:sz w:val="24"/>
          <w:szCs w:val="24"/>
        </w:rPr>
      </w:pPr>
      <w:r>
        <w:rPr>
          <w:rFonts w:hint="eastAsia" w:ascii="宋体" w:hAnsi="宋体" w:cs="宋体"/>
          <w:sz w:val="24"/>
          <w:szCs w:val="24"/>
        </w:rPr>
        <w:t>2.产品的技术标准按国家标准执行，无国家标准的，按行业标准执行，无国家和行业标准的，按企业标准执行；但在调研论证文件中有特别要求的，按调研论证文件中规定的要求执行，并且符合相关法律、法规规定的要求。</w:t>
      </w:r>
    </w:p>
    <w:p w14:paraId="437108FB">
      <w:pPr>
        <w:spacing w:line="360" w:lineRule="auto"/>
        <w:ind w:firstLine="480" w:firstLineChars="200"/>
        <w:jc w:val="left"/>
        <w:rPr>
          <w:rFonts w:ascii="宋体" w:hAnsi="宋体" w:cs="宋体"/>
          <w:sz w:val="24"/>
          <w:szCs w:val="24"/>
        </w:rPr>
      </w:pPr>
      <w:r>
        <w:rPr>
          <w:rFonts w:ascii="宋体" w:hAnsi="宋体" w:cs="宋体"/>
          <w:sz w:val="24"/>
          <w:szCs w:val="24"/>
        </w:rPr>
        <w:t>3</w:t>
      </w:r>
      <w:r>
        <w:rPr>
          <w:rFonts w:hint="eastAsia" w:ascii="宋体" w:hAnsi="宋体" w:cs="宋体"/>
          <w:sz w:val="24"/>
          <w:szCs w:val="24"/>
        </w:rPr>
        <w:t>.保证提供的产品不得侵犯第三方专利权、商标权和工业设计权、版权等。</w:t>
      </w:r>
    </w:p>
    <w:p w14:paraId="2661180E">
      <w:pPr>
        <w:spacing w:line="360" w:lineRule="auto"/>
        <w:ind w:firstLine="480" w:firstLineChars="200"/>
        <w:jc w:val="left"/>
        <w:rPr>
          <w:rFonts w:ascii="宋体" w:hAnsi="宋体" w:cs="宋体"/>
          <w:sz w:val="24"/>
          <w:szCs w:val="24"/>
        </w:rPr>
      </w:pPr>
      <w:r>
        <w:rPr>
          <w:rFonts w:hint="eastAsia" w:ascii="宋体" w:hAnsi="宋体" w:cs="宋体"/>
          <w:sz w:val="24"/>
          <w:szCs w:val="24"/>
        </w:rPr>
        <w:t>4.达到互联互通四甲、电子病历五级、</w:t>
      </w:r>
      <w:r>
        <w:rPr>
          <w:rFonts w:ascii="宋体" w:hAnsi="宋体" w:cs="宋体"/>
          <w:sz w:val="24"/>
          <w:szCs w:val="24"/>
        </w:rPr>
        <w:t>智慧服务三级</w:t>
      </w:r>
      <w:r>
        <w:rPr>
          <w:rFonts w:hint="eastAsia" w:ascii="宋体" w:hAnsi="宋体" w:cs="宋体"/>
          <w:sz w:val="24"/>
          <w:szCs w:val="24"/>
        </w:rPr>
        <w:t>建设</w:t>
      </w:r>
      <w:r>
        <w:rPr>
          <w:rFonts w:ascii="宋体" w:hAnsi="宋体" w:cs="宋体"/>
          <w:sz w:val="24"/>
          <w:szCs w:val="24"/>
        </w:rPr>
        <w:t>要求</w:t>
      </w:r>
      <w:r>
        <w:rPr>
          <w:rFonts w:hint="eastAsia" w:ascii="宋体" w:hAnsi="宋体" w:cs="宋体"/>
          <w:sz w:val="24"/>
          <w:szCs w:val="24"/>
        </w:rPr>
        <w:t>。</w:t>
      </w:r>
    </w:p>
    <w:p w14:paraId="2AED1693">
      <w:pPr>
        <w:spacing w:line="360" w:lineRule="auto"/>
        <w:ind w:firstLine="480" w:firstLineChars="200"/>
        <w:jc w:val="left"/>
        <w:rPr>
          <w:rFonts w:ascii="宋体" w:hAnsi="宋体" w:cs="宋体"/>
          <w:sz w:val="24"/>
          <w:szCs w:val="24"/>
        </w:rPr>
      </w:pPr>
      <w:r>
        <w:rPr>
          <w:rFonts w:ascii="宋体" w:hAnsi="宋体" w:cs="宋体"/>
          <w:sz w:val="24"/>
          <w:szCs w:val="24"/>
        </w:rPr>
        <w:t>5.支持分院模式[</w:t>
      </w:r>
      <w:r>
        <w:rPr>
          <w:rFonts w:hint="eastAsia" w:ascii="宋体" w:hAnsi="宋体" w:cs="宋体"/>
          <w:sz w:val="24"/>
          <w:szCs w:val="24"/>
        </w:rPr>
        <w:t>包括医</w:t>
      </w:r>
      <w:r>
        <w:rPr>
          <w:rFonts w:ascii="宋体" w:hAnsi="宋体" w:cs="宋体"/>
          <w:sz w:val="24"/>
          <w:szCs w:val="24"/>
        </w:rPr>
        <w:t>共体分院、总分院</w:t>
      </w:r>
      <w:r>
        <w:rPr>
          <w:rFonts w:hint="eastAsia" w:ascii="宋体" w:hAnsi="宋体" w:cs="宋体"/>
          <w:sz w:val="24"/>
          <w:szCs w:val="24"/>
        </w:rPr>
        <w:t>等</w:t>
      </w:r>
      <w:r>
        <w:rPr>
          <w:rFonts w:ascii="宋体" w:hAnsi="宋体" w:cs="宋体"/>
          <w:sz w:val="24"/>
          <w:szCs w:val="24"/>
        </w:rPr>
        <w:t>]，</w:t>
      </w:r>
      <w:r>
        <w:rPr>
          <w:rFonts w:hint="eastAsia" w:ascii="宋体" w:hAnsi="宋体" w:cs="宋体"/>
          <w:sz w:val="24"/>
          <w:szCs w:val="24"/>
        </w:rPr>
        <w:t>达到“江苏省县级妇幼保健院（依托建设）”的要求。</w:t>
      </w:r>
    </w:p>
    <w:p w14:paraId="531C9BBC">
      <w:pPr>
        <w:spacing w:line="360" w:lineRule="auto"/>
        <w:ind w:firstLine="480" w:firstLineChars="200"/>
        <w:jc w:val="left"/>
        <w:rPr>
          <w:rFonts w:ascii="宋体" w:hAnsi="宋体" w:cs="宋体"/>
          <w:sz w:val="24"/>
          <w:szCs w:val="24"/>
        </w:rPr>
      </w:pPr>
      <w:r>
        <w:rPr>
          <w:rFonts w:hint="eastAsia" w:ascii="宋体" w:hAnsi="宋体" w:cs="宋体"/>
          <w:sz w:val="24"/>
          <w:szCs w:val="24"/>
        </w:rPr>
        <w:t>6.原</w:t>
      </w:r>
      <w:r>
        <w:rPr>
          <w:rFonts w:ascii="宋体" w:hAnsi="宋体" w:cs="宋体"/>
          <w:sz w:val="24"/>
          <w:szCs w:val="24"/>
        </w:rPr>
        <w:t>系统</w:t>
      </w:r>
      <w:r>
        <w:rPr>
          <w:rFonts w:hint="eastAsia" w:ascii="宋体" w:hAnsi="宋体" w:cs="宋体"/>
          <w:sz w:val="24"/>
          <w:szCs w:val="24"/>
        </w:rPr>
        <w:t>历史数据迁移</w:t>
      </w:r>
    </w:p>
    <w:p w14:paraId="32F8B75F">
      <w:pPr>
        <w:spacing w:line="360" w:lineRule="auto"/>
        <w:ind w:firstLine="480" w:firstLineChars="200"/>
        <w:jc w:val="left"/>
        <w:rPr>
          <w:rFonts w:ascii="宋体" w:hAnsi="宋体" w:cs="宋体"/>
          <w:sz w:val="24"/>
          <w:szCs w:val="24"/>
        </w:rPr>
      </w:pPr>
      <w:r>
        <w:rPr>
          <w:rFonts w:hint="eastAsia" w:ascii="宋体" w:hAnsi="宋体" w:cs="宋体"/>
          <w:sz w:val="24"/>
          <w:szCs w:val="24"/>
        </w:rPr>
        <w:t>7.信息系统与集成平台对接</w:t>
      </w:r>
    </w:p>
    <w:p w14:paraId="2EFC251B">
      <w:pPr>
        <w:spacing w:line="360" w:lineRule="auto"/>
        <w:ind w:firstLine="480" w:firstLineChars="200"/>
        <w:jc w:val="left"/>
        <w:rPr>
          <w:rFonts w:ascii="宋体" w:hAnsi="宋体" w:cs="宋体"/>
          <w:sz w:val="24"/>
          <w:szCs w:val="24"/>
        </w:rPr>
      </w:pPr>
      <w:r>
        <w:rPr>
          <w:rFonts w:hint="eastAsia" w:ascii="宋体" w:hAnsi="宋体" w:cs="宋体"/>
          <w:sz w:val="24"/>
          <w:szCs w:val="24"/>
        </w:rPr>
        <w:t>8.运行</w:t>
      </w:r>
      <w:r>
        <w:rPr>
          <w:rFonts w:ascii="宋体" w:hAnsi="宋体" w:cs="宋体"/>
          <w:sz w:val="24"/>
          <w:szCs w:val="24"/>
        </w:rPr>
        <w:t>数据按照标准清洗后传</w:t>
      </w:r>
      <w:r>
        <w:rPr>
          <w:rFonts w:hint="eastAsia" w:ascii="宋体" w:hAnsi="宋体" w:cs="宋体"/>
          <w:sz w:val="24"/>
          <w:szCs w:val="24"/>
        </w:rPr>
        <w:t>至数据中心</w:t>
      </w:r>
    </w:p>
    <w:p w14:paraId="2DE1F983">
      <w:pPr>
        <w:spacing w:line="360" w:lineRule="auto"/>
        <w:ind w:firstLine="480" w:firstLineChars="200"/>
        <w:jc w:val="left"/>
        <w:rPr>
          <w:rFonts w:ascii="宋体" w:hAnsi="宋体" w:cs="宋体"/>
          <w:sz w:val="24"/>
          <w:szCs w:val="24"/>
        </w:rPr>
      </w:pPr>
      <w:r>
        <w:rPr>
          <w:rFonts w:hint="eastAsia" w:ascii="宋体" w:hAnsi="宋体" w:cs="宋体"/>
          <w:sz w:val="24"/>
          <w:szCs w:val="24"/>
        </w:rPr>
        <w:t>9.按时</w:t>
      </w:r>
      <w:r>
        <w:rPr>
          <w:rFonts w:ascii="宋体" w:hAnsi="宋体" w:cs="宋体"/>
          <w:sz w:val="24"/>
          <w:szCs w:val="24"/>
        </w:rPr>
        <w:t>医院、科室、医疗</w:t>
      </w:r>
      <w:r>
        <w:rPr>
          <w:rFonts w:hint="eastAsia" w:ascii="宋体" w:hAnsi="宋体" w:cs="宋体"/>
          <w:sz w:val="24"/>
          <w:szCs w:val="24"/>
        </w:rPr>
        <w:t>组</w:t>
      </w:r>
      <w:r>
        <w:rPr>
          <w:rFonts w:ascii="宋体" w:hAnsi="宋体" w:cs="宋体"/>
          <w:sz w:val="24"/>
          <w:szCs w:val="24"/>
        </w:rPr>
        <w:t>、个人</w:t>
      </w:r>
      <w:r>
        <w:rPr>
          <w:rFonts w:hint="eastAsia" w:ascii="宋体" w:hAnsi="宋体" w:cs="宋体"/>
          <w:sz w:val="24"/>
          <w:szCs w:val="24"/>
        </w:rPr>
        <w:t>进行数据</w:t>
      </w:r>
      <w:r>
        <w:rPr>
          <w:rFonts w:ascii="宋体" w:hAnsi="宋体" w:cs="宋体"/>
          <w:sz w:val="24"/>
          <w:szCs w:val="24"/>
        </w:rPr>
        <w:t>统计形成报表，</w:t>
      </w:r>
      <w:r>
        <w:rPr>
          <w:rFonts w:hint="eastAsia" w:ascii="宋体" w:hAnsi="宋体" w:cs="宋体"/>
          <w:sz w:val="24"/>
          <w:szCs w:val="24"/>
        </w:rPr>
        <w:t>并</w:t>
      </w:r>
      <w:r>
        <w:rPr>
          <w:rFonts w:ascii="宋体" w:hAnsi="宋体" w:cs="宋体"/>
          <w:sz w:val="24"/>
          <w:szCs w:val="24"/>
        </w:rPr>
        <w:t>按照不同权限查看和下载。</w:t>
      </w:r>
    </w:p>
    <w:p w14:paraId="4EC23622">
      <w:pPr>
        <w:spacing w:line="360" w:lineRule="auto"/>
        <w:ind w:firstLine="480" w:firstLineChars="200"/>
        <w:jc w:val="left"/>
        <w:rPr>
          <w:rFonts w:ascii="宋体" w:hAnsi="宋体" w:cs="宋体"/>
          <w:sz w:val="24"/>
          <w:szCs w:val="24"/>
        </w:rPr>
      </w:pPr>
      <w:r>
        <w:rPr>
          <w:rFonts w:hint="eastAsia" w:ascii="宋体" w:hAnsi="宋体" w:cs="宋体"/>
          <w:sz w:val="24"/>
          <w:szCs w:val="24"/>
        </w:rPr>
        <w:t>①国家三级公立中医医院绩效考核</w:t>
      </w:r>
    </w:p>
    <w:p w14:paraId="3EEB5C90">
      <w:pPr>
        <w:spacing w:line="360" w:lineRule="auto"/>
        <w:ind w:firstLine="480" w:firstLineChars="200"/>
        <w:jc w:val="left"/>
        <w:rPr>
          <w:rFonts w:ascii="宋体" w:hAnsi="宋体" w:cs="宋体"/>
          <w:sz w:val="24"/>
          <w:szCs w:val="24"/>
        </w:rPr>
      </w:pPr>
      <w:r>
        <w:rPr>
          <w:rFonts w:hint="eastAsia" w:ascii="宋体" w:hAnsi="宋体" w:cs="宋体"/>
          <w:sz w:val="24"/>
          <w:szCs w:val="24"/>
        </w:rPr>
        <w:t>②等级</w:t>
      </w:r>
      <w:r>
        <w:rPr>
          <w:rFonts w:ascii="宋体" w:hAnsi="宋体" w:cs="宋体"/>
          <w:sz w:val="24"/>
          <w:szCs w:val="24"/>
        </w:rPr>
        <w:t>医院评审</w:t>
      </w:r>
    </w:p>
    <w:p w14:paraId="7D6DD271">
      <w:pPr>
        <w:spacing w:line="360" w:lineRule="auto"/>
        <w:ind w:firstLine="480" w:firstLineChars="200"/>
        <w:jc w:val="left"/>
        <w:rPr>
          <w:rFonts w:ascii="宋体" w:hAnsi="宋体" w:cs="宋体"/>
          <w:sz w:val="24"/>
          <w:szCs w:val="24"/>
        </w:rPr>
      </w:pPr>
      <w:r>
        <w:rPr>
          <w:rFonts w:hint="eastAsia" w:ascii="宋体" w:hAnsi="宋体" w:cs="宋体"/>
          <w:sz w:val="24"/>
          <w:szCs w:val="24"/>
        </w:rPr>
        <w:t>③质控</w:t>
      </w:r>
      <w:r>
        <w:rPr>
          <w:rFonts w:ascii="宋体" w:hAnsi="宋体" w:cs="宋体"/>
          <w:sz w:val="24"/>
          <w:szCs w:val="24"/>
        </w:rPr>
        <w:t>中心</w:t>
      </w:r>
    </w:p>
    <w:p w14:paraId="41E5819C">
      <w:pPr>
        <w:spacing w:line="360" w:lineRule="auto"/>
        <w:ind w:firstLine="480" w:firstLineChars="200"/>
        <w:jc w:val="left"/>
        <w:rPr>
          <w:rFonts w:ascii="宋体" w:hAnsi="宋体" w:cs="宋体"/>
          <w:sz w:val="24"/>
          <w:szCs w:val="24"/>
        </w:rPr>
      </w:pPr>
      <w:r>
        <w:rPr>
          <w:rFonts w:hint="eastAsia" w:ascii="宋体" w:hAnsi="宋体" w:cs="宋体"/>
          <w:sz w:val="24"/>
          <w:szCs w:val="24"/>
        </w:rPr>
        <w:t>④专科</w:t>
      </w:r>
      <w:r>
        <w:rPr>
          <w:rFonts w:ascii="宋体" w:hAnsi="宋体" w:cs="宋体"/>
          <w:sz w:val="24"/>
          <w:szCs w:val="24"/>
        </w:rPr>
        <w:t>能力建设</w:t>
      </w:r>
    </w:p>
    <w:p w14:paraId="6D70A630">
      <w:pPr>
        <w:spacing w:line="360" w:lineRule="auto"/>
        <w:ind w:firstLine="480" w:firstLineChars="200"/>
        <w:jc w:val="left"/>
        <w:rPr>
          <w:rFonts w:ascii="宋体" w:hAnsi="宋体" w:cs="宋体"/>
          <w:sz w:val="24"/>
          <w:szCs w:val="24"/>
        </w:rPr>
      </w:pPr>
      <w:r>
        <w:rPr>
          <w:rFonts w:hint="eastAsia" w:ascii="宋体" w:hAnsi="宋体" w:cs="宋体"/>
          <w:sz w:val="24"/>
          <w:szCs w:val="24"/>
        </w:rPr>
        <w:t>⑤其他政府</w:t>
      </w:r>
      <w:r>
        <w:rPr>
          <w:rFonts w:ascii="宋体" w:hAnsi="宋体" w:cs="宋体"/>
          <w:sz w:val="24"/>
          <w:szCs w:val="24"/>
        </w:rPr>
        <w:t>各部门</w:t>
      </w:r>
      <w:r>
        <w:rPr>
          <w:rFonts w:hint="eastAsia" w:ascii="宋体" w:hAnsi="宋体" w:cs="宋体"/>
          <w:sz w:val="24"/>
          <w:szCs w:val="24"/>
        </w:rPr>
        <w:t>所需</w:t>
      </w:r>
      <w:r>
        <w:rPr>
          <w:rFonts w:ascii="宋体" w:hAnsi="宋体" w:cs="宋体"/>
          <w:sz w:val="24"/>
          <w:szCs w:val="24"/>
        </w:rPr>
        <w:t>上报</w:t>
      </w:r>
    </w:p>
    <w:p w14:paraId="66BF4357">
      <w:pPr>
        <w:spacing w:line="360" w:lineRule="auto"/>
        <w:ind w:firstLine="480" w:firstLineChars="200"/>
        <w:jc w:val="left"/>
        <w:rPr>
          <w:rFonts w:ascii="宋体" w:hAnsi="宋体" w:cs="宋体"/>
          <w:sz w:val="24"/>
          <w:szCs w:val="24"/>
        </w:rPr>
      </w:pPr>
      <w:r>
        <w:rPr>
          <w:rFonts w:hint="eastAsia" w:ascii="宋体" w:hAnsi="宋体" w:cs="宋体"/>
          <w:sz w:val="24"/>
          <w:szCs w:val="24"/>
        </w:rPr>
        <w:t>10.单点登录</w:t>
      </w:r>
    </w:p>
    <w:p w14:paraId="7B1E88F0">
      <w:pPr>
        <w:spacing w:line="360" w:lineRule="auto"/>
        <w:ind w:firstLine="480" w:firstLineChars="200"/>
        <w:jc w:val="left"/>
        <w:rPr>
          <w:rFonts w:ascii="宋体" w:hAnsi="宋体" w:cs="宋体"/>
          <w:sz w:val="24"/>
          <w:szCs w:val="24"/>
        </w:rPr>
      </w:pPr>
      <w:r>
        <w:rPr>
          <w:rFonts w:hint="eastAsia" w:ascii="宋体" w:hAnsi="宋体" w:cs="宋体"/>
          <w:sz w:val="24"/>
          <w:szCs w:val="24"/>
        </w:rPr>
        <w:t>11.网络</w:t>
      </w:r>
      <w:r>
        <w:rPr>
          <w:rFonts w:ascii="宋体" w:hAnsi="宋体" w:cs="宋体"/>
          <w:sz w:val="24"/>
          <w:szCs w:val="24"/>
        </w:rPr>
        <w:t>安全</w:t>
      </w:r>
    </w:p>
    <w:p w14:paraId="4F76476E">
      <w:pPr>
        <w:spacing w:line="360" w:lineRule="auto"/>
        <w:ind w:firstLine="480" w:firstLineChars="200"/>
        <w:jc w:val="left"/>
        <w:rPr>
          <w:rFonts w:ascii="宋体" w:hAnsi="宋体" w:cs="宋体"/>
          <w:sz w:val="24"/>
          <w:szCs w:val="24"/>
        </w:rPr>
      </w:pPr>
      <w:r>
        <w:rPr>
          <w:rFonts w:hint="eastAsia" w:ascii="宋体" w:hAnsi="宋体" w:cs="宋体"/>
          <w:sz w:val="24"/>
          <w:szCs w:val="24"/>
        </w:rPr>
        <w:t>①杜绝弱口令、默认口令、通用口令和易猜解口令：“口令长度8位以上，至少包含大小写字母、数字、特殊符号”。</w:t>
      </w:r>
    </w:p>
    <w:p w14:paraId="43CB62E1">
      <w:pPr>
        <w:spacing w:line="360" w:lineRule="auto"/>
        <w:ind w:firstLine="480" w:firstLineChars="200"/>
        <w:jc w:val="left"/>
        <w:rPr>
          <w:rFonts w:ascii="宋体" w:hAnsi="宋体" w:cs="宋体"/>
          <w:sz w:val="24"/>
          <w:szCs w:val="24"/>
        </w:rPr>
      </w:pPr>
      <w:r>
        <w:rPr>
          <w:rFonts w:hint="eastAsia" w:ascii="宋体" w:hAnsi="宋体" w:cs="宋体"/>
          <w:sz w:val="24"/>
          <w:szCs w:val="24"/>
        </w:rPr>
        <w:t>②系统</w:t>
      </w:r>
      <w:r>
        <w:rPr>
          <w:rFonts w:ascii="宋体" w:hAnsi="宋体" w:cs="宋体"/>
          <w:sz w:val="24"/>
          <w:szCs w:val="24"/>
        </w:rPr>
        <w:t>登录有使用次数</w:t>
      </w:r>
      <w:r>
        <w:rPr>
          <w:rFonts w:hint="eastAsia" w:ascii="宋体" w:hAnsi="宋体" w:cs="宋体"/>
          <w:sz w:val="24"/>
          <w:szCs w:val="24"/>
        </w:rPr>
        <w:t>及</w:t>
      </w:r>
      <w:r>
        <w:rPr>
          <w:rFonts w:ascii="宋体" w:hAnsi="宋体" w:cs="宋体"/>
          <w:sz w:val="24"/>
          <w:szCs w:val="24"/>
        </w:rPr>
        <w:t>控制登录</w:t>
      </w:r>
      <w:r>
        <w:rPr>
          <w:rFonts w:hint="eastAsia" w:ascii="宋体" w:hAnsi="宋体" w:cs="宋体"/>
          <w:sz w:val="24"/>
          <w:szCs w:val="24"/>
        </w:rPr>
        <w:t>时间。</w:t>
      </w:r>
    </w:p>
    <w:p w14:paraId="73C6B2C9">
      <w:pPr>
        <w:spacing w:line="360" w:lineRule="auto"/>
        <w:ind w:firstLine="480" w:firstLineChars="200"/>
        <w:jc w:val="left"/>
        <w:rPr>
          <w:rFonts w:ascii="宋体" w:hAnsi="宋体" w:cs="宋体"/>
          <w:sz w:val="24"/>
          <w:szCs w:val="24"/>
        </w:rPr>
      </w:pPr>
      <w:r>
        <w:rPr>
          <w:rFonts w:hint="eastAsia" w:ascii="宋体" w:hAnsi="宋体" w:cs="宋体"/>
          <w:sz w:val="24"/>
          <w:szCs w:val="24"/>
        </w:rPr>
        <w:t>③加强</w:t>
      </w:r>
      <w:r>
        <w:rPr>
          <w:rFonts w:ascii="宋体" w:hAnsi="宋体" w:cs="宋体"/>
          <w:sz w:val="24"/>
          <w:szCs w:val="24"/>
        </w:rPr>
        <w:t>网络安全建设，</w:t>
      </w:r>
      <w:r>
        <w:rPr>
          <w:rFonts w:hint="eastAsia" w:ascii="宋体" w:hAnsi="宋体" w:cs="宋体"/>
          <w:sz w:val="24"/>
          <w:szCs w:val="24"/>
        </w:rPr>
        <w:t>免费配合网络</w:t>
      </w:r>
      <w:r>
        <w:rPr>
          <w:rFonts w:ascii="宋体" w:hAnsi="宋体" w:cs="宋体"/>
          <w:sz w:val="24"/>
          <w:szCs w:val="24"/>
        </w:rPr>
        <w:t>安全</w:t>
      </w:r>
      <w:r>
        <w:rPr>
          <w:rFonts w:hint="eastAsia" w:ascii="宋体" w:hAnsi="宋体" w:cs="宋体"/>
          <w:sz w:val="24"/>
          <w:szCs w:val="24"/>
        </w:rPr>
        <w:t>整改。</w:t>
      </w:r>
    </w:p>
    <w:p w14:paraId="7A9322B3">
      <w:pPr>
        <w:spacing w:line="360" w:lineRule="auto"/>
        <w:ind w:firstLine="480" w:firstLineChars="200"/>
        <w:jc w:val="left"/>
        <w:rPr>
          <w:rFonts w:ascii="宋体" w:hAnsi="宋体" w:cs="宋体"/>
          <w:sz w:val="24"/>
          <w:szCs w:val="24"/>
        </w:rPr>
      </w:pPr>
      <w:r>
        <w:rPr>
          <w:rFonts w:hint="eastAsia" w:ascii="宋体" w:hAnsi="宋体" w:cs="宋体"/>
          <w:sz w:val="24"/>
          <w:szCs w:val="24"/>
        </w:rPr>
        <w:t>④数据</w:t>
      </w:r>
      <w:r>
        <w:rPr>
          <w:rFonts w:ascii="宋体" w:hAnsi="宋体" w:cs="宋体"/>
          <w:sz w:val="24"/>
          <w:szCs w:val="24"/>
        </w:rPr>
        <w:t>库密码修改不影响程序</w:t>
      </w:r>
      <w:r>
        <w:rPr>
          <w:rFonts w:hint="eastAsia" w:ascii="宋体" w:hAnsi="宋体" w:cs="宋体"/>
          <w:sz w:val="24"/>
          <w:szCs w:val="24"/>
        </w:rPr>
        <w:t>。</w:t>
      </w:r>
    </w:p>
    <w:p w14:paraId="7B6E4A8B">
      <w:pPr>
        <w:spacing w:line="360" w:lineRule="auto"/>
        <w:ind w:firstLine="480" w:firstLineChars="200"/>
        <w:jc w:val="left"/>
        <w:rPr>
          <w:rFonts w:ascii="宋体" w:hAnsi="宋体" w:cs="宋体"/>
          <w:sz w:val="24"/>
          <w:szCs w:val="24"/>
        </w:rPr>
      </w:pPr>
      <w:r>
        <w:rPr>
          <w:rFonts w:hint="eastAsia" w:ascii="宋体" w:hAnsi="宋体" w:cs="宋体"/>
          <w:sz w:val="24"/>
          <w:szCs w:val="24"/>
        </w:rPr>
        <w:t>12.免费</w:t>
      </w:r>
      <w:r>
        <w:rPr>
          <w:rFonts w:ascii="宋体" w:hAnsi="宋体" w:cs="宋体"/>
          <w:sz w:val="24"/>
          <w:szCs w:val="24"/>
        </w:rPr>
        <w:t>与全部系统对接</w:t>
      </w:r>
      <w:r>
        <w:rPr>
          <w:rFonts w:hint="eastAsia" w:ascii="宋体" w:hAnsi="宋体" w:cs="宋体"/>
          <w:sz w:val="24"/>
          <w:szCs w:val="24"/>
        </w:rPr>
        <w:t>。</w:t>
      </w:r>
    </w:p>
    <w:p w14:paraId="40029E73">
      <w:pPr>
        <w:spacing w:line="360" w:lineRule="auto"/>
        <w:ind w:firstLine="480" w:firstLineChars="200"/>
        <w:jc w:val="left"/>
        <w:rPr>
          <w:rFonts w:ascii="宋体" w:hAnsi="宋体" w:cs="宋体"/>
          <w:sz w:val="24"/>
          <w:szCs w:val="24"/>
        </w:rPr>
      </w:pPr>
      <w:r>
        <w:rPr>
          <w:rFonts w:hint="eastAsia" w:ascii="宋体" w:hAnsi="宋体" w:cs="宋体"/>
          <w:sz w:val="24"/>
          <w:szCs w:val="24"/>
        </w:rPr>
        <w:t>①</w:t>
      </w:r>
      <w:r>
        <w:rPr>
          <w:rFonts w:ascii="宋体" w:hAnsi="宋体" w:cs="宋体"/>
          <w:sz w:val="24"/>
          <w:szCs w:val="24"/>
        </w:rPr>
        <w:t>国家、省、市、县等平台对接</w:t>
      </w:r>
      <w:r>
        <w:rPr>
          <w:rFonts w:hint="eastAsia" w:ascii="宋体" w:hAnsi="宋体" w:cs="宋体"/>
          <w:sz w:val="24"/>
          <w:szCs w:val="24"/>
        </w:rPr>
        <w:t>[不限</w:t>
      </w:r>
      <w:r>
        <w:rPr>
          <w:rFonts w:ascii="宋体" w:hAnsi="宋体" w:cs="宋体"/>
          <w:sz w:val="24"/>
          <w:szCs w:val="24"/>
        </w:rPr>
        <w:t>江苏省全民健康信息平台</w:t>
      </w:r>
      <w:r>
        <w:rPr>
          <w:rFonts w:hint="eastAsia" w:ascii="宋体" w:hAnsi="宋体" w:cs="宋体"/>
          <w:sz w:val="24"/>
          <w:szCs w:val="24"/>
        </w:rPr>
        <w:t>等]</w:t>
      </w:r>
    </w:p>
    <w:p w14:paraId="2E284F56">
      <w:pPr>
        <w:spacing w:line="360" w:lineRule="auto"/>
        <w:ind w:firstLine="480" w:firstLineChars="200"/>
        <w:jc w:val="left"/>
        <w:rPr>
          <w:rFonts w:ascii="宋体" w:hAnsi="宋体" w:cs="宋体"/>
          <w:sz w:val="24"/>
          <w:szCs w:val="24"/>
        </w:rPr>
      </w:pPr>
      <w:r>
        <w:rPr>
          <w:rFonts w:hint="eastAsia" w:ascii="宋体" w:hAnsi="宋体" w:cs="宋体"/>
          <w:sz w:val="24"/>
          <w:szCs w:val="24"/>
        </w:rPr>
        <w:t>②医院信息</w:t>
      </w:r>
      <w:r>
        <w:rPr>
          <w:rFonts w:ascii="宋体" w:hAnsi="宋体" w:cs="宋体"/>
          <w:sz w:val="24"/>
          <w:szCs w:val="24"/>
        </w:rPr>
        <w:t>系统对接</w:t>
      </w:r>
      <w:r>
        <w:rPr>
          <w:rFonts w:hint="eastAsia" w:ascii="宋体" w:hAnsi="宋体" w:cs="宋体"/>
          <w:sz w:val="24"/>
          <w:szCs w:val="24"/>
        </w:rPr>
        <w:t>[优先</w:t>
      </w:r>
      <w:r>
        <w:rPr>
          <w:rFonts w:ascii="宋体" w:hAnsi="宋体" w:cs="宋体"/>
          <w:sz w:val="24"/>
          <w:szCs w:val="24"/>
        </w:rPr>
        <w:t>选择集成平台对接</w:t>
      </w:r>
      <w:r>
        <w:rPr>
          <w:rFonts w:hint="eastAsia" w:ascii="宋体" w:hAnsi="宋体" w:cs="宋体"/>
          <w:sz w:val="24"/>
          <w:szCs w:val="24"/>
        </w:rPr>
        <w:t>]</w:t>
      </w:r>
    </w:p>
    <w:p w14:paraId="54DBF910">
      <w:pPr>
        <w:spacing w:line="360" w:lineRule="auto"/>
        <w:ind w:firstLine="480" w:firstLineChars="200"/>
        <w:jc w:val="left"/>
        <w:rPr>
          <w:rFonts w:ascii="宋体" w:hAnsi="宋体" w:cs="宋体"/>
          <w:sz w:val="24"/>
          <w:szCs w:val="24"/>
        </w:rPr>
      </w:pPr>
      <w:r>
        <w:rPr>
          <w:rFonts w:hint="eastAsia" w:ascii="宋体" w:hAnsi="宋体" w:cs="宋体"/>
          <w:sz w:val="24"/>
          <w:szCs w:val="24"/>
        </w:rPr>
        <w:t>③包括互联互通四甲、电子病历五级、</w:t>
      </w:r>
      <w:r>
        <w:rPr>
          <w:rFonts w:ascii="宋体" w:hAnsi="宋体" w:cs="宋体"/>
          <w:sz w:val="24"/>
          <w:szCs w:val="24"/>
        </w:rPr>
        <w:t>智慧服务三级</w:t>
      </w:r>
      <w:r>
        <w:rPr>
          <w:rFonts w:hint="eastAsia" w:ascii="宋体" w:hAnsi="宋体" w:cs="宋体"/>
          <w:sz w:val="24"/>
          <w:szCs w:val="24"/>
        </w:rPr>
        <w:t>评审建设增加</w:t>
      </w:r>
      <w:r>
        <w:rPr>
          <w:rFonts w:ascii="宋体" w:hAnsi="宋体" w:cs="宋体"/>
          <w:sz w:val="24"/>
          <w:szCs w:val="24"/>
        </w:rPr>
        <w:t>软件对接</w:t>
      </w:r>
    </w:p>
    <w:p w14:paraId="6BAF896A">
      <w:pPr>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ascii="宋体" w:hAnsi="宋体" w:cs="宋体"/>
          <w:sz w:val="24"/>
          <w:szCs w:val="24"/>
        </w:rPr>
        <w:t>3</w:t>
      </w:r>
      <w:r>
        <w:rPr>
          <w:rFonts w:hint="eastAsia" w:ascii="宋体" w:hAnsi="宋体" w:cs="宋体"/>
          <w:sz w:val="24"/>
          <w:szCs w:val="24"/>
        </w:rPr>
        <w:t>.支持适配国产主流基础软硬件,覆盖芯片、操作系统、数据库等核心模块。</w:t>
      </w:r>
    </w:p>
    <w:p w14:paraId="6E1A2173">
      <w:pPr>
        <w:spacing w:line="360" w:lineRule="auto"/>
        <w:ind w:firstLine="480" w:firstLineChars="200"/>
        <w:jc w:val="left"/>
        <w:rPr>
          <w:rFonts w:ascii="宋体" w:hAnsi="宋体" w:cs="宋体"/>
          <w:sz w:val="24"/>
          <w:szCs w:val="24"/>
        </w:rPr>
      </w:pPr>
      <w:r>
        <w:rPr>
          <w:rFonts w:hint="eastAsia" w:ascii="宋体" w:hAnsi="宋体" w:cs="宋体"/>
          <w:sz w:val="24"/>
          <w:szCs w:val="24"/>
        </w:rPr>
        <w:t>14.部署</w:t>
      </w:r>
      <w:r>
        <w:rPr>
          <w:rFonts w:ascii="宋体" w:hAnsi="宋体" w:cs="宋体"/>
          <w:sz w:val="24"/>
          <w:szCs w:val="24"/>
        </w:rPr>
        <w:t>测试</w:t>
      </w:r>
      <w:r>
        <w:rPr>
          <w:rFonts w:hint="eastAsia" w:ascii="宋体" w:hAnsi="宋体" w:cs="宋体"/>
          <w:sz w:val="24"/>
          <w:szCs w:val="24"/>
        </w:rPr>
        <w:t>系统，</w:t>
      </w:r>
      <w:r>
        <w:rPr>
          <w:rFonts w:ascii="宋体" w:hAnsi="宋体" w:cs="宋体"/>
          <w:sz w:val="24"/>
          <w:szCs w:val="24"/>
        </w:rPr>
        <w:t>功能</w:t>
      </w:r>
      <w:r>
        <w:rPr>
          <w:rFonts w:hint="eastAsia" w:ascii="宋体" w:hAnsi="宋体" w:cs="宋体"/>
          <w:sz w:val="24"/>
          <w:szCs w:val="24"/>
        </w:rPr>
        <w:t>与</w:t>
      </w:r>
      <w:r>
        <w:rPr>
          <w:rFonts w:ascii="宋体" w:hAnsi="宋体" w:cs="宋体"/>
          <w:sz w:val="24"/>
          <w:szCs w:val="24"/>
        </w:rPr>
        <w:t>正式库一致</w:t>
      </w:r>
    </w:p>
    <w:p w14:paraId="186E040D">
      <w:pPr>
        <w:spacing w:line="360" w:lineRule="auto"/>
        <w:jc w:val="left"/>
        <w:rPr>
          <w:rFonts w:ascii="宋体" w:hAnsi="宋体" w:cs="宋体"/>
          <w:b/>
          <w:sz w:val="24"/>
          <w:szCs w:val="24"/>
        </w:rPr>
      </w:pPr>
      <w:r>
        <w:rPr>
          <w:rFonts w:hint="eastAsia" w:ascii="宋体" w:hAnsi="宋体" w:cs="宋体"/>
          <w:b/>
          <w:sz w:val="24"/>
          <w:szCs w:val="24"/>
        </w:rPr>
        <w:t>五</w:t>
      </w:r>
      <w:r>
        <w:rPr>
          <w:rFonts w:ascii="宋体" w:hAnsi="宋体" w:cs="宋体"/>
          <w:b/>
          <w:sz w:val="24"/>
          <w:szCs w:val="24"/>
        </w:rPr>
        <w:t>、</w:t>
      </w:r>
      <w:r>
        <w:rPr>
          <w:rFonts w:hint="eastAsia" w:ascii="宋体" w:hAnsi="宋体" w:cs="宋体"/>
          <w:b/>
          <w:sz w:val="24"/>
          <w:szCs w:val="24"/>
        </w:rPr>
        <w:t>调研内容及清单参数要求</w:t>
      </w:r>
    </w:p>
    <w:p w14:paraId="6455AD6D">
      <w:pPr>
        <w:spacing w:line="360" w:lineRule="auto"/>
        <w:ind w:firstLine="480" w:firstLineChars="200"/>
        <w:jc w:val="left"/>
        <w:rPr>
          <w:rFonts w:ascii="宋体" w:hAnsi="宋体" w:cs="宋体"/>
          <w:sz w:val="24"/>
          <w:szCs w:val="24"/>
        </w:rPr>
      </w:pPr>
      <w:r>
        <w:rPr>
          <w:rFonts w:hint="eastAsia" w:ascii="宋体" w:hAnsi="宋体" w:cs="宋体"/>
          <w:sz w:val="24"/>
          <w:szCs w:val="24"/>
        </w:rPr>
        <w:t>为</w:t>
      </w:r>
      <w:r>
        <w:rPr>
          <w:rFonts w:ascii="宋体" w:hAnsi="宋体" w:cs="宋体"/>
          <w:sz w:val="24"/>
          <w:szCs w:val="24"/>
        </w:rPr>
        <w:t>了</w:t>
      </w:r>
      <w:r>
        <w:rPr>
          <w:rFonts w:hint="eastAsia" w:ascii="宋体" w:hAnsi="宋体" w:cs="宋体"/>
          <w:sz w:val="24"/>
          <w:szCs w:val="24"/>
        </w:rPr>
        <w:t>满</w:t>
      </w:r>
      <w:r>
        <w:rPr>
          <w:rFonts w:ascii="宋体" w:hAnsi="宋体" w:cs="宋体"/>
          <w:sz w:val="24"/>
          <w:szCs w:val="24"/>
        </w:rPr>
        <w:t>足</w:t>
      </w:r>
      <w:r>
        <w:rPr>
          <w:rFonts w:hint="eastAsia" w:ascii="宋体" w:hAnsi="宋体" w:cs="宋体"/>
          <w:sz w:val="24"/>
          <w:szCs w:val="24"/>
        </w:rPr>
        <w:t>互联互通四甲、电子病历五级、</w:t>
      </w:r>
      <w:r>
        <w:rPr>
          <w:rFonts w:ascii="宋体" w:hAnsi="宋体" w:cs="宋体"/>
          <w:sz w:val="24"/>
          <w:szCs w:val="24"/>
        </w:rPr>
        <w:t>智慧服务三级</w:t>
      </w:r>
      <w:r>
        <w:rPr>
          <w:rFonts w:hint="eastAsia" w:ascii="宋体" w:hAnsi="宋体" w:cs="宋体"/>
          <w:sz w:val="24"/>
          <w:szCs w:val="24"/>
        </w:rPr>
        <w:t>评审要求 和“江苏省县级妇幼保健院（依托建设）” 的要求，现将医院心电系统进行</w:t>
      </w:r>
      <w:r>
        <w:rPr>
          <w:rFonts w:ascii="宋体" w:hAnsi="宋体" w:cs="宋体"/>
          <w:sz w:val="24"/>
          <w:szCs w:val="24"/>
        </w:rPr>
        <w:t>升级改造</w:t>
      </w:r>
      <w:r>
        <w:rPr>
          <w:rFonts w:hint="eastAsia" w:ascii="宋体" w:hAnsi="宋体" w:cs="宋体"/>
          <w:sz w:val="24"/>
          <w:szCs w:val="24"/>
        </w:rPr>
        <w:t>。</w:t>
      </w:r>
    </w:p>
    <w:p w14:paraId="7F9A54BE">
      <w:pPr>
        <w:pStyle w:val="2"/>
      </w:pPr>
      <w:r>
        <w:rPr>
          <w:rFonts w:hint="eastAsia"/>
        </w:rPr>
        <w:t>（一）建设</w:t>
      </w:r>
      <w:r>
        <w:t>内容</w:t>
      </w:r>
    </w:p>
    <w:tbl>
      <w:tblPr>
        <w:tblStyle w:val="44"/>
        <w:tblW w:w="8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84"/>
        <w:gridCol w:w="3598"/>
        <w:gridCol w:w="1022"/>
        <w:gridCol w:w="1104"/>
      </w:tblGrid>
      <w:tr w14:paraId="27FA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14:paraId="42AF696B">
            <w:pPr>
              <w:spacing w:line="276" w:lineRule="auto"/>
              <w:jc w:val="center"/>
              <w:rPr>
                <w:rFonts w:ascii="宋体" w:hAnsi="宋体"/>
                <w:bCs/>
              </w:rPr>
            </w:pPr>
            <w:r>
              <w:rPr>
                <w:rFonts w:ascii="宋体" w:hAnsi="宋体"/>
                <w:bCs/>
              </w:rPr>
              <w:t>序号</w:t>
            </w:r>
          </w:p>
        </w:tc>
        <w:tc>
          <w:tcPr>
            <w:tcW w:w="5182" w:type="dxa"/>
            <w:gridSpan w:val="2"/>
            <w:vAlign w:val="center"/>
          </w:tcPr>
          <w:p w14:paraId="069C8EB1">
            <w:pPr>
              <w:spacing w:line="276" w:lineRule="auto"/>
              <w:jc w:val="center"/>
              <w:rPr>
                <w:rFonts w:ascii="宋体" w:hAnsi="宋体"/>
                <w:bCs/>
              </w:rPr>
            </w:pPr>
            <w:r>
              <w:rPr>
                <w:rFonts w:ascii="宋体" w:hAnsi="宋体"/>
                <w:bCs/>
              </w:rPr>
              <w:t>货物名称</w:t>
            </w:r>
          </w:p>
        </w:tc>
        <w:tc>
          <w:tcPr>
            <w:tcW w:w="1022" w:type="dxa"/>
            <w:vAlign w:val="center"/>
          </w:tcPr>
          <w:p w14:paraId="626D2BE8">
            <w:pPr>
              <w:spacing w:line="276" w:lineRule="auto"/>
              <w:jc w:val="center"/>
              <w:rPr>
                <w:rFonts w:ascii="宋体" w:hAnsi="宋体"/>
                <w:bCs/>
              </w:rPr>
            </w:pPr>
            <w:r>
              <w:rPr>
                <w:rFonts w:ascii="宋体" w:hAnsi="宋体"/>
                <w:bCs/>
              </w:rPr>
              <w:t>数量</w:t>
            </w:r>
          </w:p>
        </w:tc>
        <w:tc>
          <w:tcPr>
            <w:tcW w:w="1104" w:type="dxa"/>
            <w:vAlign w:val="center"/>
          </w:tcPr>
          <w:p w14:paraId="23C0519B">
            <w:pPr>
              <w:spacing w:line="276" w:lineRule="auto"/>
              <w:jc w:val="center"/>
              <w:rPr>
                <w:rFonts w:ascii="宋体" w:hAnsi="宋体"/>
                <w:bCs/>
              </w:rPr>
            </w:pPr>
            <w:r>
              <w:rPr>
                <w:rFonts w:ascii="宋体" w:hAnsi="宋体"/>
                <w:bCs/>
              </w:rPr>
              <w:t>单位</w:t>
            </w:r>
          </w:p>
        </w:tc>
      </w:tr>
      <w:tr w14:paraId="2C1F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14:paraId="32D086D1">
            <w:pPr>
              <w:numPr>
                <w:ilvl w:val="0"/>
                <w:numId w:val="3"/>
              </w:numPr>
              <w:spacing w:line="276" w:lineRule="auto"/>
              <w:jc w:val="center"/>
              <w:rPr>
                <w:rFonts w:ascii="宋体" w:hAnsi="宋体"/>
                <w:bCs/>
              </w:rPr>
            </w:pPr>
          </w:p>
        </w:tc>
        <w:tc>
          <w:tcPr>
            <w:tcW w:w="1584" w:type="dxa"/>
            <w:vMerge w:val="restart"/>
            <w:vAlign w:val="center"/>
          </w:tcPr>
          <w:p w14:paraId="1578D40E">
            <w:pPr>
              <w:spacing w:line="276" w:lineRule="auto"/>
              <w:jc w:val="center"/>
              <w:rPr>
                <w:rFonts w:ascii="宋体" w:hAnsi="宋体"/>
              </w:rPr>
            </w:pPr>
            <w:r>
              <w:rPr>
                <w:rFonts w:hint="eastAsia" w:ascii="宋体" w:hAnsi="宋体"/>
              </w:rPr>
              <w:t>心电电生理</w:t>
            </w:r>
          </w:p>
          <w:p w14:paraId="43280043">
            <w:pPr>
              <w:spacing w:line="276" w:lineRule="auto"/>
              <w:jc w:val="center"/>
              <w:rPr>
                <w:rFonts w:ascii="宋体" w:hAnsi="宋体"/>
              </w:rPr>
            </w:pPr>
            <w:r>
              <w:rPr>
                <w:rFonts w:hint="eastAsia" w:ascii="宋体" w:hAnsi="宋体"/>
              </w:rPr>
              <w:t>管理平台升级</w:t>
            </w:r>
          </w:p>
        </w:tc>
        <w:tc>
          <w:tcPr>
            <w:tcW w:w="3598" w:type="dxa"/>
            <w:vAlign w:val="center"/>
          </w:tcPr>
          <w:p w14:paraId="21AD6E77">
            <w:pPr>
              <w:jc w:val="center"/>
              <w:rPr>
                <w:rFonts w:ascii="宋体" w:hAnsi="宋体"/>
              </w:rPr>
            </w:pPr>
            <w:r>
              <w:rPr>
                <w:rFonts w:hint="eastAsia" w:ascii="宋体" w:hAnsi="宋体"/>
              </w:rPr>
              <w:t>多院区管理</w:t>
            </w:r>
          </w:p>
        </w:tc>
        <w:tc>
          <w:tcPr>
            <w:tcW w:w="1022" w:type="dxa"/>
          </w:tcPr>
          <w:p w14:paraId="2C6236FF">
            <w:pPr>
              <w:spacing w:line="276" w:lineRule="auto"/>
              <w:jc w:val="center"/>
              <w:rPr>
                <w:rFonts w:ascii="宋体" w:hAnsi="宋体"/>
                <w:bCs/>
              </w:rPr>
            </w:pPr>
            <w:r>
              <w:rPr>
                <w:rFonts w:hint="eastAsia" w:ascii="宋体" w:hAnsi="宋体"/>
                <w:bCs/>
              </w:rPr>
              <w:t>1</w:t>
            </w:r>
          </w:p>
        </w:tc>
        <w:tc>
          <w:tcPr>
            <w:tcW w:w="1104" w:type="dxa"/>
            <w:vAlign w:val="center"/>
          </w:tcPr>
          <w:p w14:paraId="2E53D13E">
            <w:pPr>
              <w:tabs>
                <w:tab w:val="left" w:pos="720"/>
              </w:tabs>
              <w:spacing w:line="276" w:lineRule="auto"/>
              <w:jc w:val="center"/>
              <w:rPr>
                <w:rFonts w:ascii="宋体" w:hAnsi="宋体"/>
              </w:rPr>
            </w:pPr>
            <w:r>
              <w:rPr>
                <w:rFonts w:hint="eastAsia" w:ascii="宋体" w:hAnsi="宋体"/>
              </w:rPr>
              <w:t>套</w:t>
            </w:r>
          </w:p>
        </w:tc>
      </w:tr>
      <w:tr w14:paraId="14AF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14:paraId="7DC4077B">
            <w:pPr>
              <w:numPr>
                <w:ilvl w:val="0"/>
                <w:numId w:val="3"/>
              </w:numPr>
              <w:spacing w:line="276" w:lineRule="auto"/>
              <w:jc w:val="center"/>
              <w:rPr>
                <w:rFonts w:ascii="宋体" w:hAnsi="宋体"/>
                <w:bCs/>
              </w:rPr>
            </w:pPr>
          </w:p>
        </w:tc>
        <w:tc>
          <w:tcPr>
            <w:tcW w:w="1584" w:type="dxa"/>
            <w:vMerge w:val="continue"/>
            <w:vAlign w:val="center"/>
          </w:tcPr>
          <w:p w14:paraId="129A8AD1">
            <w:pPr>
              <w:spacing w:line="276" w:lineRule="auto"/>
              <w:jc w:val="center"/>
              <w:rPr>
                <w:rFonts w:ascii="宋体" w:hAnsi="宋体"/>
              </w:rPr>
            </w:pPr>
          </w:p>
        </w:tc>
        <w:tc>
          <w:tcPr>
            <w:tcW w:w="3598" w:type="dxa"/>
            <w:vAlign w:val="center"/>
          </w:tcPr>
          <w:p w14:paraId="32EF3F3D">
            <w:pPr>
              <w:jc w:val="center"/>
              <w:rPr>
                <w:rFonts w:ascii="宋体" w:hAnsi="宋体"/>
              </w:rPr>
            </w:pPr>
            <w:r>
              <w:rPr>
                <w:rFonts w:hint="eastAsia" w:ascii="宋体" w:hAnsi="宋体"/>
              </w:rPr>
              <w:t>数据监管系统</w:t>
            </w:r>
          </w:p>
        </w:tc>
        <w:tc>
          <w:tcPr>
            <w:tcW w:w="1022" w:type="dxa"/>
          </w:tcPr>
          <w:p w14:paraId="4728E702">
            <w:pPr>
              <w:spacing w:line="276" w:lineRule="auto"/>
              <w:jc w:val="center"/>
              <w:rPr>
                <w:rFonts w:ascii="宋体" w:hAnsi="宋体"/>
                <w:bCs/>
              </w:rPr>
            </w:pPr>
            <w:r>
              <w:rPr>
                <w:rFonts w:hint="eastAsia" w:ascii="宋体" w:hAnsi="宋体"/>
                <w:bCs/>
              </w:rPr>
              <w:t>1</w:t>
            </w:r>
          </w:p>
        </w:tc>
        <w:tc>
          <w:tcPr>
            <w:tcW w:w="1104" w:type="dxa"/>
            <w:vAlign w:val="center"/>
          </w:tcPr>
          <w:p w14:paraId="7AB2AA80">
            <w:pPr>
              <w:tabs>
                <w:tab w:val="left" w:pos="720"/>
              </w:tabs>
              <w:spacing w:line="276" w:lineRule="auto"/>
              <w:jc w:val="center"/>
              <w:rPr>
                <w:rFonts w:ascii="宋体" w:hAnsi="宋体"/>
              </w:rPr>
            </w:pPr>
            <w:r>
              <w:rPr>
                <w:rFonts w:hint="eastAsia" w:ascii="宋体" w:hAnsi="宋体"/>
              </w:rPr>
              <w:t>套</w:t>
            </w:r>
          </w:p>
        </w:tc>
      </w:tr>
      <w:tr w14:paraId="5DCF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14:paraId="075C1F60">
            <w:pPr>
              <w:numPr>
                <w:ilvl w:val="0"/>
                <w:numId w:val="3"/>
              </w:numPr>
              <w:spacing w:line="276" w:lineRule="auto"/>
              <w:jc w:val="center"/>
              <w:rPr>
                <w:rFonts w:ascii="宋体" w:hAnsi="宋体"/>
                <w:bCs/>
              </w:rPr>
            </w:pPr>
          </w:p>
        </w:tc>
        <w:tc>
          <w:tcPr>
            <w:tcW w:w="1584" w:type="dxa"/>
            <w:vMerge w:val="continue"/>
            <w:vAlign w:val="center"/>
          </w:tcPr>
          <w:p w14:paraId="05CCDD8D">
            <w:pPr>
              <w:spacing w:line="276" w:lineRule="auto"/>
              <w:jc w:val="center"/>
              <w:rPr>
                <w:rFonts w:ascii="宋体" w:hAnsi="宋体"/>
              </w:rPr>
            </w:pPr>
          </w:p>
        </w:tc>
        <w:tc>
          <w:tcPr>
            <w:tcW w:w="3598" w:type="dxa"/>
            <w:vAlign w:val="center"/>
          </w:tcPr>
          <w:p w14:paraId="31F9332D">
            <w:pPr>
              <w:jc w:val="center"/>
              <w:rPr>
                <w:rFonts w:ascii="宋体" w:hAnsi="宋体"/>
              </w:rPr>
            </w:pPr>
            <w:r>
              <w:rPr>
                <w:rFonts w:hint="eastAsia" w:ascii="宋体" w:hAnsi="宋体"/>
              </w:rPr>
              <w:t>三合一医生工作站</w:t>
            </w:r>
          </w:p>
        </w:tc>
        <w:tc>
          <w:tcPr>
            <w:tcW w:w="1022" w:type="dxa"/>
          </w:tcPr>
          <w:p w14:paraId="2CE61389">
            <w:pPr>
              <w:spacing w:line="276" w:lineRule="auto"/>
              <w:jc w:val="center"/>
              <w:rPr>
                <w:rFonts w:ascii="宋体" w:hAnsi="宋体"/>
                <w:bCs/>
              </w:rPr>
            </w:pPr>
            <w:r>
              <w:rPr>
                <w:rFonts w:hint="eastAsia" w:ascii="宋体" w:hAnsi="宋体"/>
                <w:bCs/>
              </w:rPr>
              <w:t>1</w:t>
            </w:r>
          </w:p>
        </w:tc>
        <w:tc>
          <w:tcPr>
            <w:tcW w:w="1104" w:type="dxa"/>
            <w:vAlign w:val="center"/>
          </w:tcPr>
          <w:p w14:paraId="0624F7C3">
            <w:pPr>
              <w:tabs>
                <w:tab w:val="left" w:pos="720"/>
              </w:tabs>
              <w:spacing w:line="276" w:lineRule="auto"/>
              <w:jc w:val="center"/>
              <w:rPr>
                <w:rFonts w:ascii="宋体" w:hAnsi="宋体"/>
              </w:rPr>
            </w:pPr>
            <w:r>
              <w:rPr>
                <w:rFonts w:hint="eastAsia" w:ascii="宋体" w:hAnsi="宋体"/>
              </w:rPr>
              <w:t>套</w:t>
            </w:r>
          </w:p>
        </w:tc>
      </w:tr>
      <w:tr w14:paraId="10A5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14:paraId="1A072CCD">
            <w:pPr>
              <w:numPr>
                <w:ilvl w:val="0"/>
                <w:numId w:val="3"/>
              </w:numPr>
              <w:spacing w:line="276" w:lineRule="auto"/>
              <w:jc w:val="center"/>
              <w:rPr>
                <w:rFonts w:ascii="宋体" w:hAnsi="宋体"/>
                <w:bCs/>
              </w:rPr>
            </w:pPr>
          </w:p>
        </w:tc>
        <w:tc>
          <w:tcPr>
            <w:tcW w:w="1584" w:type="dxa"/>
            <w:vMerge w:val="continue"/>
            <w:vAlign w:val="center"/>
          </w:tcPr>
          <w:p w14:paraId="0944DB8B">
            <w:pPr>
              <w:spacing w:line="276" w:lineRule="auto"/>
              <w:jc w:val="center"/>
              <w:rPr>
                <w:rFonts w:ascii="宋体" w:hAnsi="宋体"/>
              </w:rPr>
            </w:pPr>
          </w:p>
        </w:tc>
        <w:tc>
          <w:tcPr>
            <w:tcW w:w="3598" w:type="dxa"/>
            <w:vAlign w:val="center"/>
          </w:tcPr>
          <w:p w14:paraId="63D1280B">
            <w:pPr>
              <w:jc w:val="center"/>
              <w:rPr>
                <w:rFonts w:ascii="宋体" w:hAnsi="宋体"/>
              </w:rPr>
            </w:pPr>
            <w:r>
              <w:rPr>
                <w:rFonts w:hint="eastAsia" w:ascii="宋体" w:hAnsi="宋体"/>
              </w:rPr>
              <w:t>心电自动分析系统</w:t>
            </w:r>
          </w:p>
        </w:tc>
        <w:tc>
          <w:tcPr>
            <w:tcW w:w="1022" w:type="dxa"/>
          </w:tcPr>
          <w:p w14:paraId="584DB7BE">
            <w:pPr>
              <w:spacing w:line="276" w:lineRule="auto"/>
              <w:jc w:val="center"/>
              <w:rPr>
                <w:rFonts w:ascii="宋体" w:hAnsi="宋体"/>
                <w:bCs/>
              </w:rPr>
            </w:pPr>
            <w:r>
              <w:rPr>
                <w:rFonts w:hint="eastAsia" w:ascii="宋体" w:hAnsi="宋体"/>
                <w:bCs/>
              </w:rPr>
              <w:t>1</w:t>
            </w:r>
          </w:p>
        </w:tc>
        <w:tc>
          <w:tcPr>
            <w:tcW w:w="1104" w:type="dxa"/>
            <w:vAlign w:val="center"/>
          </w:tcPr>
          <w:p w14:paraId="5E813053">
            <w:pPr>
              <w:tabs>
                <w:tab w:val="left" w:pos="720"/>
              </w:tabs>
              <w:spacing w:line="276" w:lineRule="auto"/>
              <w:jc w:val="center"/>
              <w:rPr>
                <w:rFonts w:ascii="宋体" w:hAnsi="宋体"/>
              </w:rPr>
            </w:pPr>
            <w:r>
              <w:rPr>
                <w:rFonts w:hint="eastAsia" w:ascii="宋体" w:hAnsi="宋体"/>
              </w:rPr>
              <w:t>套</w:t>
            </w:r>
          </w:p>
        </w:tc>
      </w:tr>
      <w:tr w14:paraId="57EE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14:paraId="77BEA9F2">
            <w:pPr>
              <w:numPr>
                <w:ilvl w:val="0"/>
                <w:numId w:val="3"/>
              </w:numPr>
              <w:spacing w:line="276" w:lineRule="auto"/>
              <w:jc w:val="center"/>
              <w:rPr>
                <w:rFonts w:ascii="宋体" w:hAnsi="宋体"/>
                <w:bCs/>
              </w:rPr>
            </w:pPr>
          </w:p>
        </w:tc>
        <w:tc>
          <w:tcPr>
            <w:tcW w:w="1584" w:type="dxa"/>
            <w:vMerge w:val="continue"/>
            <w:vAlign w:val="center"/>
          </w:tcPr>
          <w:p w14:paraId="3FD26FAD">
            <w:pPr>
              <w:spacing w:line="276" w:lineRule="auto"/>
              <w:jc w:val="center"/>
              <w:rPr>
                <w:rFonts w:ascii="宋体" w:hAnsi="宋体"/>
              </w:rPr>
            </w:pPr>
          </w:p>
        </w:tc>
        <w:tc>
          <w:tcPr>
            <w:tcW w:w="3598" w:type="dxa"/>
            <w:vAlign w:val="center"/>
          </w:tcPr>
          <w:p w14:paraId="73D29BC9">
            <w:pPr>
              <w:jc w:val="center"/>
              <w:rPr>
                <w:rFonts w:ascii="宋体" w:hAnsi="宋体"/>
              </w:rPr>
            </w:pPr>
            <w:r>
              <w:rPr>
                <w:rFonts w:hint="eastAsia" w:ascii="宋体" w:hAnsi="宋体"/>
              </w:rPr>
              <w:t>移动会诊</w:t>
            </w:r>
          </w:p>
        </w:tc>
        <w:tc>
          <w:tcPr>
            <w:tcW w:w="1022" w:type="dxa"/>
          </w:tcPr>
          <w:p w14:paraId="2FAAF872">
            <w:pPr>
              <w:spacing w:line="276" w:lineRule="auto"/>
              <w:jc w:val="center"/>
              <w:rPr>
                <w:rFonts w:ascii="宋体" w:hAnsi="宋体"/>
                <w:bCs/>
              </w:rPr>
            </w:pPr>
            <w:r>
              <w:rPr>
                <w:rFonts w:hint="eastAsia" w:ascii="宋体" w:hAnsi="宋体"/>
                <w:bCs/>
              </w:rPr>
              <w:t>1</w:t>
            </w:r>
          </w:p>
        </w:tc>
        <w:tc>
          <w:tcPr>
            <w:tcW w:w="1104" w:type="dxa"/>
            <w:vAlign w:val="center"/>
          </w:tcPr>
          <w:p w14:paraId="55A62218">
            <w:pPr>
              <w:tabs>
                <w:tab w:val="left" w:pos="720"/>
              </w:tabs>
              <w:spacing w:line="276" w:lineRule="auto"/>
              <w:jc w:val="center"/>
              <w:rPr>
                <w:rFonts w:ascii="宋体" w:hAnsi="宋体"/>
              </w:rPr>
            </w:pPr>
            <w:r>
              <w:rPr>
                <w:rFonts w:hint="eastAsia" w:ascii="宋体" w:hAnsi="宋体"/>
              </w:rPr>
              <w:t>套</w:t>
            </w:r>
          </w:p>
        </w:tc>
      </w:tr>
      <w:tr w14:paraId="2DF5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14:paraId="711980F0">
            <w:pPr>
              <w:numPr>
                <w:ilvl w:val="0"/>
                <w:numId w:val="3"/>
              </w:numPr>
              <w:spacing w:line="276" w:lineRule="auto"/>
              <w:jc w:val="center"/>
              <w:rPr>
                <w:rFonts w:ascii="宋体" w:hAnsi="宋体"/>
                <w:bCs/>
              </w:rPr>
            </w:pPr>
          </w:p>
        </w:tc>
        <w:tc>
          <w:tcPr>
            <w:tcW w:w="1584" w:type="dxa"/>
            <w:vMerge w:val="continue"/>
            <w:vAlign w:val="center"/>
          </w:tcPr>
          <w:p w14:paraId="337E6F30">
            <w:pPr>
              <w:spacing w:line="276" w:lineRule="auto"/>
              <w:jc w:val="center"/>
              <w:rPr>
                <w:rFonts w:ascii="宋体" w:hAnsi="宋体"/>
              </w:rPr>
            </w:pPr>
          </w:p>
        </w:tc>
        <w:tc>
          <w:tcPr>
            <w:tcW w:w="3598" w:type="dxa"/>
            <w:vAlign w:val="center"/>
          </w:tcPr>
          <w:p w14:paraId="3C30F63D">
            <w:pPr>
              <w:jc w:val="center"/>
              <w:rPr>
                <w:rFonts w:ascii="宋体" w:hAnsi="宋体"/>
              </w:rPr>
            </w:pPr>
            <w:r>
              <w:rPr>
                <w:rFonts w:hint="eastAsia" w:ascii="宋体" w:hAnsi="宋体"/>
              </w:rPr>
              <w:t>临床web端调阅</w:t>
            </w:r>
          </w:p>
        </w:tc>
        <w:tc>
          <w:tcPr>
            <w:tcW w:w="1022" w:type="dxa"/>
          </w:tcPr>
          <w:p w14:paraId="491C56A7">
            <w:pPr>
              <w:spacing w:line="276" w:lineRule="auto"/>
              <w:jc w:val="center"/>
              <w:rPr>
                <w:rFonts w:ascii="宋体" w:hAnsi="宋体"/>
                <w:bCs/>
              </w:rPr>
            </w:pPr>
            <w:r>
              <w:rPr>
                <w:rFonts w:hint="eastAsia" w:ascii="宋体" w:hAnsi="宋体"/>
                <w:bCs/>
              </w:rPr>
              <w:t>1</w:t>
            </w:r>
          </w:p>
        </w:tc>
        <w:tc>
          <w:tcPr>
            <w:tcW w:w="1104" w:type="dxa"/>
            <w:vAlign w:val="center"/>
          </w:tcPr>
          <w:p w14:paraId="2FC80632">
            <w:pPr>
              <w:tabs>
                <w:tab w:val="left" w:pos="720"/>
              </w:tabs>
              <w:spacing w:line="276" w:lineRule="auto"/>
              <w:jc w:val="center"/>
              <w:rPr>
                <w:rFonts w:ascii="宋体" w:hAnsi="宋体"/>
              </w:rPr>
            </w:pPr>
            <w:r>
              <w:rPr>
                <w:rFonts w:hint="eastAsia" w:ascii="宋体" w:hAnsi="宋体"/>
              </w:rPr>
              <w:t>套</w:t>
            </w:r>
          </w:p>
        </w:tc>
      </w:tr>
      <w:tr w14:paraId="056E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14:paraId="2547B2F8">
            <w:pPr>
              <w:numPr>
                <w:ilvl w:val="0"/>
                <w:numId w:val="3"/>
              </w:numPr>
              <w:spacing w:line="276" w:lineRule="auto"/>
              <w:jc w:val="center"/>
              <w:rPr>
                <w:rFonts w:ascii="宋体" w:hAnsi="宋体"/>
                <w:bCs/>
              </w:rPr>
            </w:pPr>
          </w:p>
        </w:tc>
        <w:tc>
          <w:tcPr>
            <w:tcW w:w="1584" w:type="dxa"/>
            <w:vMerge w:val="continue"/>
            <w:vAlign w:val="center"/>
          </w:tcPr>
          <w:p w14:paraId="28043120">
            <w:pPr>
              <w:spacing w:line="276" w:lineRule="auto"/>
              <w:jc w:val="center"/>
              <w:rPr>
                <w:rFonts w:ascii="宋体" w:hAnsi="宋体"/>
              </w:rPr>
            </w:pPr>
          </w:p>
        </w:tc>
        <w:tc>
          <w:tcPr>
            <w:tcW w:w="3598" w:type="dxa"/>
            <w:vAlign w:val="center"/>
          </w:tcPr>
          <w:p w14:paraId="7B4A3FDD">
            <w:pPr>
              <w:jc w:val="center"/>
              <w:rPr>
                <w:rFonts w:ascii="宋体" w:hAnsi="宋体"/>
              </w:rPr>
            </w:pPr>
            <w:r>
              <w:rPr>
                <w:rFonts w:hint="eastAsia" w:ascii="宋体" w:hAnsi="宋体"/>
              </w:rPr>
              <w:t>质控管理系统</w:t>
            </w:r>
          </w:p>
        </w:tc>
        <w:tc>
          <w:tcPr>
            <w:tcW w:w="1022" w:type="dxa"/>
          </w:tcPr>
          <w:p w14:paraId="0E847B15">
            <w:pPr>
              <w:spacing w:line="276" w:lineRule="auto"/>
              <w:jc w:val="center"/>
              <w:rPr>
                <w:rFonts w:ascii="宋体" w:hAnsi="宋体"/>
                <w:bCs/>
              </w:rPr>
            </w:pPr>
            <w:r>
              <w:rPr>
                <w:rFonts w:hint="eastAsia" w:ascii="宋体" w:hAnsi="宋体"/>
                <w:bCs/>
              </w:rPr>
              <w:t>1</w:t>
            </w:r>
          </w:p>
        </w:tc>
        <w:tc>
          <w:tcPr>
            <w:tcW w:w="1104" w:type="dxa"/>
            <w:vAlign w:val="center"/>
          </w:tcPr>
          <w:p w14:paraId="31D696DA">
            <w:pPr>
              <w:tabs>
                <w:tab w:val="left" w:pos="720"/>
              </w:tabs>
              <w:spacing w:line="276" w:lineRule="auto"/>
              <w:jc w:val="center"/>
              <w:rPr>
                <w:rFonts w:ascii="宋体" w:hAnsi="宋体"/>
              </w:rPr>
            </w:pPr>
            <w:r>
              <w:rPr>
                <w:rFonts w:hint="eastAsia" w:ascii="宋体" w:hAnsi="宋体"/>
              </w:rPr>
              <w:t>套</w:t>
            </w:r>
          </w:p>
        </w:tc>
      </w:tr>
      <w:tr w14:paraId="2084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14:paraId="73E3EE5F">
            <w:pPr>
              <w:numPr>
                <w:ilvl w:val="0"/>
                <w:numId w:val="3"/>
              </w:numPr>
              <w:spacing w:line="276" w:lineRule="auto"/>
              <w:jc w:val="center"/>
              <w:rPr>
                <w:rFonts w:ascii="宋体" w:hAnsi="宋体"/>
                <w:bCs/>
              </w:rPr>
            </w:pPr>
          </w:p>
        </w:tc>
        <w:tc>
          <w:tcPr>
            <w:tcW w:w="5182" w:type="dxa"/>
            <w:gridSpan w:val="2"/>
            <w:vAlign w:val="center"/>
          </w:tcPr>
          <w:p w14:paraId="10505BCB">
            <w:pPr>
              <w:spacing w:line="276" w:lineRule="auto"/>
              <w:jc w:val="center"/>
              <w:rPr>
                <w:rFonts w:ascii="宋体" w:hAnsi="宋体"/>
              </w:rPr>
            </w:pPr>
            <w:r>
              <w:rPr>
                <w:rFonts w:hint="eastAsia" w:ascii="宋体" w:hAnsi="宋体"/>
              </w:rPr>
              <w:t>集成平台接入</w:t>
            </w:r>
          </w:p>
        </w:tc>
        <w:tc>
          <w:tcPr>
            <w:tcW w:w="1022" w:type="dxa"/>
          </w:tcPr>
          <w:p w14:paraId="5145FE3E">
            <w:pPr>
              <w:spacing w:line="276" w:lineRule="auto"/>
              <w:jc w:val="center"/>
              <w:rPr>
                <w:rFonts w:ascii="宋体" w:hAnsi="宋体"/>
                <w:bCs/>
              </w:rPr>
            </w:pPr>
            <w:r>
              <w:rPr>
                <w:rFonts w:hint="eastAsia" w:ascii="宋体" w:hAnsi="宋体"/>
                <w:bCs/>
              </w:rPr>
              <w:t>1</w:t>
            </w:r>
          </w:p>
        </w:tc>
        <w:tc>
          <w:tcPr>
            <w:tcW w:w="1104" w:type="dxa"/>
            <w:vAlign w:val="center"/>
          </w:tcPr>
          <w:p w14:paraId="7B84FB81">
            <w:pPr>
              <w:tabs>
                <w:tab w:val="left" w:pos="720"/>
              </w:tabs>
              <w:spacing w:line="276" w:lineRule="auto"/>
              <w:jc w:val="center"/>
              <w:rPr>
                <w:rFonts w:ascii="宋体" w:hAnsi="宋体"/>
              </w:rPr>
            </w:pPr>
            <w:r>
              <w:rPr>
                <w:rFonts w:hint="eastAsia" w:ascii="宋体" w:hAnsi="宋体"/>
              </w:rPr>
              <w:t>个</w:t>
            </w:r>
          </w:p>
        </w:tc>
      </w:tr>
    </w:tbl>
    <w:p w14:paraId="3DD21489">
      <w:pPr>
        <w:pStyle w:val="2"/>
      </w:pPr>
    </w:p>
    <w:p w14:paraId="08C620CA">
      <w:pPr>
        <w:numPr>
          <w:ilvl w:val="0"/>
          <w:numId w:val="4"/>
        </w:numPr>
        <w:spacing w:line="360" w:lineRule="auto"/>
        <w:outlineLvl w:val="0"/>
        <w:rPr>
          <w:b/>
          <w:bCs/>
          <w:sz w:val="30"/>
          <w:szCs w:val="30"/>
        </w:rPr>
      </w:pPr>
      <w:r>
        <w:rPr>
          <w:rFonts w:hint="eastAsia"/>
          <w:b/>
          <w:bCs/>
          <w:sz w:val="30"/>
          <w:szCs w:val="30"/>
        </w:rPr>
        <w:t>项目需求：</w:t>
      </w:r>
    </w:p>
    <w:p w14:paraId="7FC11D39">
      <w:pPr>
        <w:numPr>
          <w:ilvl w:val="0"/>
          <w:numId w:val="5"/>
        </w:numPr>
        <w:spacing w:line="360" w:lineRule="auto"/>
        <w:outlineLvl w:val="1"/>
        <w:rPr>
          <w:sz w:val="24"/>
        </w:rPr>
      </w:pPr>
      <w:r>
        <w:rPr>
          <w:rFonts w:hint="eastAsia"/>
          <w:b/>
          <w:bCs/>
          <w:sz w:val="24"/>
        </w:rPr>
        <w:t>建设背景</w:t>
      </w:r>
      <w:r>
        <w:rPr>
          <w:rFonts w:hint="eastAsia"/>
          <w:sz w:val="24"/>
        </w:rPr>
        <w:t>：</w:t>
      </w:r>
    </w:p>
    <w:p w14:paraId="0959E966">
      <w:pPr>
        <w:tabs>
          <w:tab w:val="left" w:pos="312"/>
        </w:tabs>
        <w:spacing w:line="360" w:lineRule="auto"/>
        <w:ind w:firstLine="480" w:firstLineChars="200"/>
        <w:rPr>
          <w:sz w:val="24"/>
        </w:rPr>
      </w:pPr>
      <w:r>
        <w:rPr>
          <w:rFonts w:hint="eastAsia"/>
          <w:sz w:val="24"/>
        </w:rPr>
        <w:t>心电及电生理网络系统的建设，实现医院心电检查数据联网，针对医院目前心电检查的现状，完善现有的心电图检查流程，将心电检查覆盖到全院各科室，实现门诊、急诊、住院、体检的心电检查流程优化。通过对接医院信息管理平台，心电图检查完全实现在网上申请、收费、预约和登记，实时在线检查、报告传输及远程会诊一体化，使全院的心电图检查，心电图数据、各种电生理数据、报告实现数字化，网络化，无纸化集中管理。满足医院心电电生理业务运行管理需求，实现心电及电生理诊疗信息互联互通。借助平台发挥远程医疗作用，促进医疗资源横向流动，提升医院整体心电电生理诊疗服务能力。</w:t>
      </w:r>
    </w:p>
    <w:p w14:paraId="14298250">
      <w:pPr>
        <w:numPr>
          <w:ilvl w:val="0"/>
          <w:numId w:val="5"/>
        </w:numPr>
        <w:spacing w:line="360" w:lineRule="auto"/>
        <w:outlineLvl w:val="1"/>
        <w:rPr>
          <w:b/>
          <w:bCs/>
          <w:sz w:val="24"/>
        </w:rPr>
      </w:pPr>
      <w:r>
        <w:rPr>
          <w:rFonts w:hint="eastAsia"/>
          <w:b/>
          <w:bCs/>
          <w:sz w:val="24"/>
        </w:rPr>
        <w:t>建设目标：</w:t>
      </w:r>
    </w:p>
    <w:p w14:paraId="74EE36D2">
      <w:pPr>
        <w:tabs>
          <w:tab w:val="left" w:pos="312"/>
        </w:tabs>
        <w:spacing w:line="360" w:lineRule="auto"/>
        <w:ind w:firstLine="480" w:firstLineChars="200"/>
        <w:rPr>
          <w:sz w:val="24"/>
        </w:rPr>
      </w:pPr>
      <w:r>
        <w:rPr>
          <w:rFonts w:hint="eastAsia"/>
          <w:sz w:val="24"/>
        </w:rPr>
        <w:t>本项目根据医院发展和运营管理的建设需求，按照国家医疗信息化建设标准，在临床诊疗、患者服务、医院管理、科研支持几个维度全面提升信息化支撑和服务能力。实现院内心电图机、电生理设备以多种方式连接组成网络，将心电电生理数据统一存储和管理，并实现心电图检查中的登记、检查、诊断、报告、浏览、查询统计、管理等环节的数字化、自动化、智能化和规范化。优化患者就医流程，减少管理漏洞，提高医护工作效率，满足患者、医务人员和管理三类人群的应用需求，使医院信息系统在广度、深度、成熟度、热点与趋势等方面得到持续深化和发展。</w:t>
      </w:r>
    </w:p>
    <w:p w14:paraId="3C0717FA">
      <w:pPr>
        <w:tabs>
          <w:tab w:val="left" w:pos="312"/>
        </w:tabs>
        <w:spacing w:line="360" w:lineRule="auto"/>
        <w:ind w:firstLine="482" w:firstLineChars="200"/>
        <w:rPr>
          <w:sz w:val="24"/>
        </w:rPr>
      </w:pPr>
      <w:r>
        <w:rPr>
          <w:rFonts w:hint="eastAsia"/>
          <w:b/>
          <w:bCs/>
          <w:sz w:val="24"/>
        </w:rPr>
        <w:t>心电电生理信息化建设。</w:t>
      </w:r>
      <w:r>
        <w:rPr>
          <w:rFonts w:hint="eastAsia"/>
          <w:sz w:val="24"/>
        </w:rPr>
        <w:t>通过接口和集成，实现各个系统之间的互联互通，响应国家政策（《卫生行业信息安全等级保护工作的指导意见》），构建符合安全等保三级测评的信息系统，确保在多种网络环境下系统安全稳定运行。</w:t>
      </w:r>
    </w:p>
    <w:p w14:paraId="70BE73E3">
      <w:pPr>
        <w:tabs>
          <w:tab w:val="left" w:pos="312"/>
        </w:tabs>
        <w:spacing w:line="360" w:lineRule="auto"/>
        <w:ind w:firstLine="482" w:firstLineChars="200"/>
        <w:rPr>
          <w:sz w:val="24"/>
        </w:rPr>
      </w:pPr>
      <w:r>
        <w:rPr>
          <w:rFonts w:hint="eastAsia"/>
          <w:b/>
          <w:bCs/>
          <w:sz w:val="24"/>
        </w:rPr>
        <w:t>统一数据规范。</w:t>
      </w:r>
      <w:r>
        <w:rPr>
          <w:rFonts w:hint="eastAsia"/>
          <w:sz w:val="24"/>
        </w:rPr>
        <w:t>采用统一、规范的数据存储传输规范，以解决医院内不同厂家、型号心电电生理设备数据的兼容性问题。遵循</w:t>
      </w:r>
      <w:r>
        <w:rPr>
          <w:sz w:val="24"/>
        </w:rPr>
        <w:t>HL7-</w:t>
      </w:r>
      <w:r>
        <w:rPr>
          <w:rFonts w:hint="eastAsia"/>
          <w:sz w:val="24"/>
        </w:rPr>
        <w:t>a</w:t>
      </w:r>
      <w:r>
        <w:rPr>
          <w:sz w:val="24"/>
        </w:rPr>
        <w:t>ECG</w:t>
      </w:r>
      <w:r>
        <w:rPr>
          <w:rFonts w:hint="eastAsia"/>
          <w:sz w:val="24"/>
        </w:rPr>
        <w:t>等行业标准，系统支持符合接口规范的第三方设备接入，实现医院现有电生理设备的接入，最大程度上保证设备利用率。实现院内心电检查的全面接入，包括心电图室、门诊、急诊、病区等机构接入，实现心电检查数字化传输、集中诊断和院内信息共享，心电检查工作效率有效提高。</w:t>
      </w:r>
    </w:p>
    <w:p w14:paraId="4D73BEA8">
      <w:pPr>
        <w:widowControl/>
        <w:spacing w:line="360" w:lineRule="auto"/>
        <w:ind w:firstLine="482" w:firstLineChars="200"/>
        <w:rPr>
          <w:sz w:val="24"/>
        </w:rPr>
      </w:pPr>
      <w:r>
        <w:rPr>
          <w:rFonts w:hint="eastAsia"/>
          <w:b/>
          <w:bCs/>
          <w:sz w:val="24"/>
        </w:rPr>
        <w:t>数据中心建设。</w:t>
      </w:r>
      <w:r>
        <w:rPr>
          <w:rFonts w:hint="eastAsia"/>
          <w:sz w:val="24"/>
        </w:rPr>
        <w:t>基于心电网络平台，建立统一心电电生理数据中心，实现医院病人心电检查资料统一保存和全面共享，实现医院心电电生理数据的集中存储和管理，方便医院内部查阅、共享、交流心电数据，丰富居民电子健康档案和电子病历信息。</w:t>
      </w:r>
    </w:p>
    <w:p w14:paraId="5BF6A09A">
      <w:pPr>
        <w:tabs>
          <w:tab w:val="left" w:pos="312"/>
        </w:tabs>
        <w:spacing w:line="360" w:lineRule="auto"/>
        <w:ind w:firstLine="482" w:firstLineChars="200"/>
        <w:rPr>
          <w:sz w:val="24"/>
        </w:rPr>
      </w:pPr>
      <w:r>
        <w:rPr>
          <w:rFonts w:hint="eastAsia"/>
          <w:b/>
          <w:bCs/>
          <w:sz w:val="24"/>
        </w:rPr>
        <w:t>业务流程优化。</w:t>
      </w:r>
      <w:r>
        <w:rPr>
          <w:sz w:val="24"/>
        </w:rPr>
        <w:t>针对医院目前心电</w:t>
      </w:r>
      <w:r>
        <w:rPr>
          <w:rFonts w:hint="eastAsia"/>
          <w:sz w:val="24"/>
        </w:rPr>
        <w:t>电生理</w:t>
      </w:r>
      <w:r>
        <w:rPr>
          <w:sz w:val="24"/>
        </w:rPr>
        <w:t>检查的现状，完善现有的心电图检查流程，将心电检查覆盖到全院各科室，实现门诊、急诊、住院、体检的心电检查流程优化。通过对接医院信息管理平台，心电图检查完全实现在网上申请、收费、预约和登记，实时在线检查、报告传输及远程会诊一体化，使全院的心电图数据、各种电生理数据、报告实现数字化</w:t>
      </w:r>
      <w:r>
        <w:rPr>
          <w:rFonts w:hint="eastAsia"/>
          <w:sz w:val="24"/>
        </w:rPr>
        <w:t>、</w:t>
      </w:r>
      <w:r>
        <w:rPr>
          <w:sz w:val="24"/>
        </w:rPr>
        <w:t>网络化</w:t>
      </w:r>
      <w:r>
        <w:rPr>
          <w:rFonts w:hint="eastAsia"/>
          <w:sz w:val="24"/>
        </w:rPr>
        <w:t>、</w:t>
      </w:r>
      <w:r>
        <w:rPr>
          <w:sz w:val="24"/>
        </w:rPr>
        <w:t>无纸化集中管理。</w:t>
      </w:r>
    </w:p>
    <w:p w14:paraId="7F696723">
      <w:pPr>
        <w:tabs>
          <w:tab w:val="left" w:pos="312"/>
        </w:tabs>
        <w:spacing w:line="360" w:lineRule="auto"/>
        <w:ind w:firstLine="482" w:firstLineChars="200"/>
        <w:rPr>
          <w:sz w:val="24"/>
        </w:rPr>
      </w:pPr>
      <w:r>
        <w:rPr>
          <w:rFonts w:hint="eastAsia"/>
          <w:b/>
          <w:bCs/>
          <w:sz w:val="24"/>
        </w:rPr>
        <w:t>远程会诊。</w:t>
      </w:r>
      <w:r>
        <w:rPr>
          <w:rFonts w:hint="eastAsia"/>
          <w:sz w:val="24"/>
        </w:rPr>
        <w:t>通过心电电生理系统对分院、社区疑难检查病例的远程会诊支持，分院、社区等</w:t>
      </w:r>
      <w:r>
        <w:rPr>
          <w:sz w:val="24"/>
        </w:rPr>
        <w:t>远程心电数据可通过网络</w:t>
      </w:r>
      <w:r>
        <w:rPr>
          <w:rFonts w:hint="eastAsia"/>
          <w:sz w:val="24"/>
        </w:rPr>
        <w:t>传输</w:t>
      </w:r>
      <w:r>
        <w:rPr>
          <w:sz w:val="24"/>
        </w:rPr>
        <w:t>，实现心电在线诊断和远程会诊。</w:t>
      </w:r>
    </w:p>
    <w:p w14:paraId="22EE3E03">
      <w:pPr>
        <w:tabs>
          <w:tab w:val="left" w:pos="312"/>
        </w:tabs>
        <w:spacing w:line="360" w:lineRule="auto"/>
        <w:ind w:firstLine="482" w:firstLineChars="200"/>
        <w:rPr>
          <w:sz w:val="24"/>
        </w:rPr>
      </w:pPr>
      <w:r>
        <w:rPr>
          <w:rFonts w:hint="eastAsia"/>
          <w:b/>
          <w:bCs/>
          <w:sz w:val="24"/>
        </w:rPr>
        <w:t>电生理设备接入。</w:t>
      </w:r>
      <w:r>
        <w:rPr>
          <w:rFonts w:hint="eastAsia"/>
          <w:sz w:val="24"/>
        </w:rPr>
        <w:t>诊断中心实现院内电生理检查的全面接入，实现电生理检查数字化传输、集中诊断和院内信息共享，电生理检查工作效率提高。</w:t>
      </w:r>
    </w:p>
    <w:p w14:paraId="79D9FA94">
      <w:pPr>
        <w:tabs>
          <w:tab w:val="left" w:pos="312"/>
        </w:tabs>
        <w:spacing w:line="360" w:lineRule="auto"/>
        <w:ind w:firstLine="482" w:firstLineChars="200"/>
        <w:rPr>
          <w:sz w:val="24"/>
        </w:rPr>
      </w:pPr>
      <w:r>
        <w:rPr>
          <w:rFonts w:hint="eastAsia"/>
          <w:b/>
          <w:bCs/>
          <w:sz w:val="24"/>
        </w:rPr>
        <w:t>监管质控。</w:t>
      </w:r>
      <w:r>
        <w:rPr>
          <w:rFonts w:hint="eastAsia"/>
          <w:sz w:val="24"/>
        </w:rPr>
        <w:t>构建医院心电监管中心，利用大数据可视化展示系统，通过全院心电检查、诊断、报告等数据的分析挖掘，对医院的业务就资源进行精准定向指导和调整优化，通过监控数据传输和业务运维状态，确保业务流畅、高效运行。通过对医院心电电生理数据的统计分析，实现管理部门对设备、病人、医生、检查报告的监管。规范化全院心电检查流程，为心电质控提供数据支撑。</w:t>
      </w:r>
    </w:p>
    <w:p w14:paraId="1B57AC9D">
      <w:pPr>
        <w:tabs>
          <w:tab w:val="left" w:pos="312"/>
        </w:tabs>
        <w:spacing w:line="360" w:lineRule="auto"/>
        <w:ind w:firstLine="482" w:firstLineChars="200"/>
        <w:rPr>
          <w:sz w:val="24"/>
        </w:rPr>
      </w:pPr>
      <w:r>
        <w:rPr>
          <w:b/>
          <w:bCs/>
          <w:sz w:val="24"/>
        </w:rPr>
        <w:t>节约成本</w:t>
      </w:r>
      <w:r>
        <w:rPr>
          <w:rFonts w:hint="eastAsia"/>
          <w:b/>
          <w:bCs/>
          <w:sz w:val="24"/>
        </w:rPr>
        <w:t>。</w:t>
      </w:r>
      <w:r>
        <w:rPr>
          <w:sz w:val="24"/>
        </w:rPr>
        <w:t>各科室采集的心电图可通过网络自动传送到心电图室，由专业医师统一发放检查报告，既可以减少失误，又方便快捷。用普通A4或者B5纸代替热敏纸打印心电图报告，为医院节约大量的成本。</w:t>
      </w:r>
    </w:p>
    <w:p w14:paraId="750B3013">
      <w:pPr>
        <w:numPr>
          <w:ilvl w:val="0"/>
          <w:numId w:val="4"/>
        </w:numPr>
        <w:spacing w:line="360" w:lineRule="auto"/>
        <w:outlineLvl w:val="0"/>
        <w:rPr>
          <w:b/>
          <w:bCs/>
          <w:sz w:val="30"/>
          <w:szCs w:val="30"/>
        </w:rPr>
      </w:pPr>
      <w:r>
        <w:rPr>
          <w:b/>
          <w:bCs/>
          <w:sz w:val="30"/>
          <w:szCs w:val="30"/>
        </w:rPr>
        <w:t>系统要求</w:t>
      </w:r>
    </w:p>
    <w:p w14:paraId="3A1602FF">
      <w:pPr>
        <w:widowControl/>
        <w:spacing w:line="360" w:lineRule="auto"/>
        <w:ind w:firstLine="480" w:firstLineChars="200"/>
        <w:jc w:val="left"/>
        <w:rPr>
          <w:sz w:val="24"/>
        </w:rPr>
      </w:pPr>
      <w:r>
        <w:rPr>
          <w:sz w:val="24"/>
        </w:rPr>
        <w:t>1、产品的投标资格认证：所投产品符合国家有关管理法规，投标文件中须提供有效期内的医疗器械注册证。</w:t>
      </w:r>
    </w:p>
    <w:p w14:paraId="3B2E1C74">
      <w:pPr>
        <w:widowControl/>
        <w:spacing w:line="360" w:lineRule="auto"/>
        <w:ind w:firstLine="480" w:firstLineChars="200"/>
        <w:jc w:val="left"/>
        <w:rPr>
          <w:sz w:val="24"/>
        </w:rPr>
      </w:pPr>
      <w:r>
        <w:rPr>
          <w:rFonts w:hint="eastAsia"/>
          <w:sz w:val="24"/>
        </w:rPr>
        <w:t>2</w:t>
      </w:r>
      <w:r>
        <w:rPr>
          <w:sz w:val="24"/>
        </w:rPr>
        <w:t>、系统数据传输全面支持FDA所制定的XML格式为架构心电图传输标准，HL7标准的集成标准。扩展性好，性能稳定、高效，采用成熟软件开发技术。</w:t>
      </w:r>
    </w:p>
    <w:p w14:paraId="4CDA7F46">
      <w:pPr>
        <w:widowControl/>
        <w:spacing w:line="360" w:lineRule="auto"/>
        <w:ind w:firstLine="480" w:firstLineChars="200"/>
        <w:jc w:val="left"/>
        <w:rPr>
          <w:sz w:val="24"/>
        </w:rPr>
      </w:pPr>
      <w:r>
        <w:rPr>
          <w:rFonts w:hint="eastAsia"/>
          <w:sz w:val="24"/>
        </w:rPr>
        <w:t>3</w:t>
      </w:r>
      <w:r>
        <w:rPr>
          <w:sz w:val="24"/>
        </w:rPr>
        <w:t>、系统接口必须满足招标方设备品牌的全覆盖，能够支持现有各种数字接口设备数字化采集、统一存储、管理，保证今后扩增引进设备有效接入。</w:t>
      </w:r>
    </w:p>
    <w:p w14:paraId="092B2357">
      <w:pPr>
        <w:widowControl/>
        <w:spacing w:line="360" w:lineRule="auto"/>
        <w:ind w:firstLine="480" w:firstLineChars="200"/>
        <w:jc w:val="left"/>
        <w:rPr>
          <w:sz w:val="24"/>
        </w:rPr>
      </w:pPr>
      <w:r>
        <w:rPr>
          <w:rFonts w:hint="eastAsia"/>
          <w:sz w:val="24"/>
        </w:rPr>
        <w:t>4</w:t>
      </w:r>
      <w:r>
        <w:rPr>
          <w:sz w:val="24"/>
        </w:rPr>
        <w:t>、系统安装后，培训招标方正确使用、管理和维护应用软件和硬件，解决应用运行过程中出现的问题，保证应用正常稳定运行。</w:t>
      </w:r>
    </w:p>
    <w:p w14:paraId="2876AE83">
      <w:pPr>
        <w:pStyle w:val="2"/>
      </w:pPr>
    </w:p>
    <w:tbl>
      <w:tblPr>
        <w:tblStyle w:val="44"/>
        <w:tblW w:w="8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6486"/>
      </w:tblGrid>
      <w:tr w14:paraId="3218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202239D">
            <w:pPr>
              <w:widowControl/>
              <w:jc w:val="center"/>
              <w:rPr>
                <w:b/>
                <w:bCs/>
                <w:szCs w:val="21"/>
              </w:rPr>
            </w:pPr>
            <w:r>
              <w:rPr>
                <w:b/>
                <w:bCs/>
                <w:szCs w:val="21"/>
              </w:rPr>
              <w:t>编号</w:t>
            </w:r>
          </w:p>
        </w:tc>
        <w:tc>
          <w:tcPr>
            <w:tcW w:w="1260" w:type="dxa"/>
            <w:vAlign w:val="center"/>
          </w:tcPr>
          <w:p w14:paraId="35A64E63">
            <w:pPr>
              <w:widowControl/>
              <w:jc w:val="center"/>
              <w:rPr>
                <w:b/>
                <w:bCs/>
                <w:szCs w:val="21"/>
              </w:rPr>
            </w:pPr>
            <w:r>
              <w:rPr>
                <w:b/>
                <w:bCs/>
                <w:szCs w:val="21"/>
              </w:rPr>
              <w:t>名称</w:t>
            </w:r>
          </w:p>
        </w:tc>
        <w:tc>
          <w:tcPr>
            <w:tcW w:w="6486" w:type="dxa"/>
            <w:vAlign w:val="center"/>
          </w:tcPr>
          <w:p w14:paraId="73B19140">
            <w:pPr>
              <w:widowControl/>
              <w:jc w:val="center"/>
              <w:rPr>
                <w:b/>
                <w:bCs/>
                <w:szCs w:val="21"/>
              </w:rPr>
            </w:pPr>
            <w:r>
              <w:rPr>
                <w:b/>
                <w:bCs/>
                <w:szCs w:val="21"/>
              </w:rPr>
              <w:t>招标要求</w:t>
            </w:r>
          </w:p>
        </w:tc>
      </w:tr>
      <w:tr w14:paraId="1BA6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vAlign w:val="center"/>
          </w:tcPr>
          <w:p w14:paraId="3F4DC1AA">
            <w:pPr>
              <w:pStyle w:val="103"/>
              <w:numPr>
                <w:ilvl w:val="0"/>
                <w:numId w:val="6"/>
              </w:numPr>
              <w:ind w:left="0" w:firstLine="0" w:firstLineChars="0"/>
              <w:jc w:val="center"/>
              <w:rPr>
                <w:b/>
                <w:bCs/>
                <w:szCs w:val="21"/>
              </w:rPr>
            </w:pPr>
          </w:p>
        </w:tc>
        <w:tc>
          <w:tcPr>
            <w:tcW w:w="1260" w:type="dxa"/>
            <w:vAlign w:val="center"/>
          </w:tcPr>
          <w:p w14:paraId="45D3BB05">
            <w:pPr>
              <w:jc w:val="center"/>
              <w:rPr>
                <w:b/>
                <w:bCs/>
                <w:szCs w:val="21"/>
              </w:rPr>
            </w:pPr>
            <w:r>
              <w:rPr>
                <w:rFonts w:hint="eastAsia"/>
                <w:b/>
                <w:bCs/>
                <w:szCs w:val="21"/>
              </w:rPr>
              <w:t>系统架构升级</w:t>
            </w:r>
          </w:p>
        </w:tc>
        <w:tc>
          <w:tcPr>
            <w:tcW w:w="6486" w:type="dxa"/>
          </w:tcPr>
          <w:p w14:paraId="7D8A2C35">
            <w:pPr>
              <w:pStyle w:val="103"/>
              <w:numPr>
                <w:ilvl w:val="0"/>
                <w:numId w:val="7"/>
              </w:numPr>
              <w:spacing w:line="360" w:lineRule="auto"/>
              <w:ind w:firstLineChars="0"/>
              <w:rPr>
                <w:rFonts w:ascii="宋体" w:hAnsi="宋体"/>
                <w:szCs w:val="21"/>
              </w:rPr>
            </w:pPr>
            <w:r>
              <w:rPr>
                <w:rFonts w:ascii="宋体" w:hAnsi="宋体"/>
                <w:szCs w:val="21"/>
              </w:rPr>
              <w:t>系统采用微服务</w:t>
            </w:r>
            <w:r>
              <w:rPr>
                <w:rFonts w:hint="eastAsia" w:ascii="宋体" w:hAnsi="宋体"/>
                <w:szCs w:val="21"/>
              </w:rPr>
              <w:t>技术</w:t>
            </w:r>
            <w:r>
              <w:rPr>
                <w:rFonts w:ascii="宋体" w:hAnsi="宋体"/>
                <w:szCs w:val="21"/>
              </w:rPr>
              <w:t>架构，</w:t>
            </w:r>
            <w:r>
              <w:rPr>
                <w:rFonts w:hint="eastAsia" w:ascii="宋体" w:hAnsi="宋体"/>
                <w:szCs w:val="21"/>
              </w:rPr>
              <w:t>各</w:t>
            </w:r>
            <w:r>
              <w:rPr>
                <w:rFonts w:ascii="宋体" w:hAnsi="宋体"/>
                <w:szCs w:val="21"/>
              </w:rPr>
              <w:t>服务之间高度自治</w:t>
            </w:r>
            <w:r>
              <w:rPr>
                <w:rFonts w:hint="eastAsia" w:ascii="宋体" w:hAnsi="宋体"/>
                <w:szCs w:val="21"/>
              </w:rPr>
              <w:t>，</w:t>
            </w:r>
            <w:r>
              <w:rPr>
                <w:rFonts w:ascii="宋体" w:hAnsi="宋体"/>
                <w:szCs w:val="21"/>
              </w:rPr>
              <w:t>支持独立部署</w:t>
            </w:r>
            <w:r>
              <w:rPr>
                <w:rFonts w:hint="eastAsia" w:ascii="宋体" w:hAnsi="宋体"/>
                <w:szCs w:val="21"/>
              </w:rPr>
              <w:t>或</w:t>
            </w:r>
            <w:r>
              <w:rPr>
                <w:rFonts w:ascii="宋体" w:hAnsi="宋体"/>
                <w:szCs w:val="21"/>
              </w:rPr>
              <w:t>集中部署</w:t>
            </w:r>
            <w:r>
              <w:rPr>
                <w:rFonts w:hint="eastAsia" w:ascii="宋体" w:hAnsi="宋体"/>
                <w:szCs w:val="21"/>
              </w:rPr>
              <w:t>，满足医院业务高并发的需求。</w:t>
            </w:r>
          </w:p>
          <w:p w14:paraId="43824CB9">
            <w:pPr>
              <w:pStyle w:val="103"/>
              <w:numPr>
                <w:ilvl w:val="0"/>
                <w:numId w:val="7"/>
              </w:numPr>
              <w:spacing w:line="360" w:lineRule="auto"/>
              <w:ind w:firstLineChars="0"/>
              <w:rPr>
                <w:rFonts w:ascii="宋体" w:hAnsi="宋体"/>
                <w:szCs w:val="21"/>
              </w:rPr>
            </w:pPr>
            <w:r>
              <w:rPr>
                <w:rFonts w:ascii="宋体" w:hAnsi="宋体"/>
                <w:szCs w:val="21"/>
              </w:rPr>
              <w:t>数据库</w:t>
            </w:r>
            <w:r>
              <w:rPr>
                <w:rFonts w:hint="eastAsia" w:ascii="宋体" w:hAnsi="宋体"/>
                <w:szCs w:val="21"/>
              </w:rPr>
              <w:t>支持</w:t>
            </w:r>
            <w:r>
              <w:rPr>
                <w:rFonts w:ascii="宋体" w:hAnsi="宋体"/>
                <w:szCs w:val="21"/>
              </w:rPr>
              <w:t>SQL Server、Mysql等</w:t>
            </w:r>
            <w:r>
              <w:rPr>
                <w:rFonts w:hint="eastAsia" w:ascii="宋体" w:hAnsi="宋体"/>
                <w:szCs w:val="21"/>
              </w:rPr>
              <w:t>数据库</w:t>
            </w:r>
            <w:r>
              <w:rPr>
                <w:rFonts w:ascii="宋体" w:hAnsi="宋体"/>
                <w:szCs w:val="21"/>
              </w:rPr>
              <w:t>，</w:t>
            </w:r>
            <w:r>
              <w:rPr>
                <w:rFonts w:hint="eastAsia" w:ascii="宋体" w:hAnsi="宋体"/>
                <w:szCs w:val="21"/>
              </w:rPr>
              <w:t>采用</w:t>
            </w:r>
            <w:r>
              <w:rPr>
                <w:rFonts w:ascii="宋体" w:hAnsi="宋体"/>
                <w:szCs w:val="21"/>
              </w:rPr>
              <w:t>读写分离</w:t>
            </w:r>
            <w:r>
              <w:rPr>
                <w:rFonts w:hint="eastAsia" w:ascii="宋体" w:hAnsi="宋体"/>
                <w:szCs w:val="21"/>
              </w:rPr>
              <w:t>模式</w:t>
            </w:r>
            <w:r>
              <w:rPr>
                <w:rFonts w:ascii="宋体" w:hAnsi="宋体"/>
                <w:szCs w:val="21"/>
              </w:rPr>
              <w:t>。</w:t>
            </w:r>
          </w:p>
          <w:p w14:paraId="7E178F6A">
            <w:pPr>
              <w:pStyle w:val="103"/>
              <w:numPr>
                <w:ilvl w:val="0"/>
                <w:numId w:val="7"/>
              </w:numPr>
              <w:spacing w:line="360" w:lineRule="auto"/>
              <w:ind w:firstLineChars="0"/>
              <w:rPr>
                <w:rFonts w:ascii="宋体" w:hAnsi="宋体"/>
                <w:szCs w:val="21"/>
              </w:rPr>
            </w:pPr>
            <w:r>
              <w:rPr>
                <w:rFonts w:ascii="宋体" w:hAnsi="宋体"/>
                <w:szCs w:val="21"/>
              </w:rPr>
              <w:t>采用热部署方式，</w:t>
            </w:r>
            <w:r>
              <w:rPr>
                <w:rFonts w:hint="eastAsia" w:ascii="宋体" w:hAnsi="宋体"/>
                <w:szCs w:val="21"/>
              </w:rPr>
              <w:t>无需</w:t>
            </w:r>
            <w:r>
              <w:rPr>
                <w:rFonts w:ascii="宋体" w:hAnsi="宋体"/>
                <w:szCs w:val="21"/>
              </w:rPr>
              <w:t>停止服务器</w:t>
            </w:r>
            <w:r>
              <w:rPr>
                <w:rFonts w:hint="eastAsia" w:ascii="宋体" w:hAnsi="宋体"/>
                <w:szCs w:val="21"/>
              </w:rPr>
              <w:t>即可</w:t>
            </w:r>
            <w:r>
              <w:rPr>
                <w:rFonts w:ascii="宋体" w:hAnsi="宋体"/>
                <w:szCs w:val="21"/>
              </w:rPr>
              <w:t>实现系统程序升级发布、配置文件更新等功能。</w:t>
            </w:r>
          </w:p>
          <w:p w14:paraId="7F22EC91">
            <w:pPr>
              <w:pStyle w:val="103"/>
              <w:numPr>
                <w:ilvl w:val="0"/>
                <w:numId w:val="7"/>
              </w:numPr>
              <w:spacing w:line="360" w:lineRule="auto"/>
              <w:ind w:firstLineChars="0"/>
              <w:rPr>
                <w:rFonts w:ascii="宋体" w:hAnsi="宋体"/>
                <w:szCs w:val="21"/>
              </w:rPr>
            </w:pPr>
            <w:r>
              <w:rPr>
                <w:rFonts w:ascii="宋体" w:hAnsi="宋体"/>
                <w:szCs w:val="21"/>
              </w:rPr>
              <w:t>系统</w:t>
            </w:r>
            <w:r>
              <w:rPr>
                <w:rFonts w:hint="eastAsia" w:ascii="宋体" w:hAnsi="宋体"/>
                <w:szCs w:val="21"/>
              </w:rPr>
              <w:t>支持</w:t>
            </w:r>
            <w:r>
              <w:rPr>
                <w:rFonts w:ascii="宋体" w:hAnsi="宋体"/>
                <w:szCs w:val="21"/>
              </w:rPr>
              <w:t>C/S</w:t>
            </w:r>
            <w:r>
              <w:rPr>
                <w:rFonts w:hint="eastAsia" w:ascii="宋体" w:hAnsi="宋体"/>
                <w:szCs w:val="21"/>
              </w:rPr>
              <w:t>和</w:t>
            </w:r>
            <w:r>
              <w:rPr>
                <w:rFonts w:ascii="宋体" w:hAnsi="宋体"/>
                <w:szCs w:val="21"/>
              </w:rPr>
              <w:t>B/S</w:t>
            </w:r>
            <w:r>
              <w:rPr>
                <w:rFonts w:hint="eastAsia" w:ascii="宋体" w:hAnsi="宋体"/>
                <w:szCs w:val="21"/>
              </w:rPr>
              <w:t>混合模式</w:t>
            </w:r>
            <w:r>
              <w:rPr>
                <w:rFonts w:ascii="宋体" w:hAnsi="宋体"/>
                <w:szCs w:val="21"/>
              </w:rPr>
              <w:t>。</w:t>
            </w:r>
          </w:p>
          <w:p w14:paraId="07FBB7C2">
            <w:pPr>
              <w:pStyle w:val="103"/>
              <w:numPr>
                <w:ilvl w:val="0"/>
                <w:numId w:val="7"/>
              </w:numPr>
              <w:spacing w:line="360" w:lineRule="auto"/>
              <w:ind w:firstLineChars="0"/>
              <w:rPr>
                <w:rFonts w:ascii="宋体" w:hAnsi="宋体"/>
                <w:szCs w:val="21"/>
              </w:rPr>
            </w:pPr>
            <w:r>
              <w:rPr>
                <w:rFonts w:ascii="宋体" w:hAnsi="宋体"/>
                <w:szCs w:val="21"/>
              </w:rPr>
              <w:t>系统采用业务和管理分离的方式。</w:t>
            </w:r>
            <w:r>
              <w:rPr>
                <w:rFonts w:hint="eastAsia" w:ascii="宋体" w:hAnsi="宋体"/>
                <w:szCs w:val="21"/>
              </w:rPr>
              <w:t>在</w:t>
            </w:r>
            <w:r>
              <w:rPr>
                <w:rFonts w:ascii="宋体" w:hAnsi="宋体"/>
                <w:szCs w:val="21"/>
              </w:rPr>
              <w:t>业务处理</w:t>
            </w:r>
            <w:r>
              <w:rPr>
                <w:rFonts w:hint="eastAsia" w:ascii="宋体" w:hAnsi="宋体"/>
                <w:szCs w:val="21"/>
              </w:rPr>
              <w:t>上，</w:t>
            </w:r>
            <w:r>
              <w:rPr>
                <w:rFonts w:ascii="宋体" w:hAnsi="宋体"/>
                <w:szCs w:val="21"/>
              </w:rPr>
              <w:t>提供独立的</w:t>
            </w:r>
            <w:r>
              <w:rPr>
                <w:rFonts w:hint="eastAsia" w:ascii="宋体" w:hAnsi="宋体"/>
                <w:szCs w:val="21"/>
              </w:rPr>
              <w:t>医生工作站，供临床处理心电的检查、诊断、数据分析等业务；在管理上，</w:t>
            </w:r>
            <w:r>
              <w:rPr>
                <w:rFonts w:ascii="宋体" w:hAnsi="宋体"/>
                <w:szCs w:val="21"/>
              </w:rPr>
              <w:t>提供独立的管理后台，实现对</w:t>
            </w:r>
            <w:r>
              <w:rPr>
                <w:rFonts w:hint="eastAsia" w:ascii="宋体" w:hAnsi="宋体"/>
                <w:szCs w:val="21"/>
              </w:rPr>
              <w:t>人员</w:t>
            </w:r>
            <w:r>
              <w:rPr>
                <w:rFonts w:ascii="宋体" w:hAnsi="宋体"/>
                <w:szCs w:val="21"/>
              </w:rPr>
              <w:t>、设备</w:t>
            </w:r>
            <w:r>
              <w:rPr>
                <w:rFonts w:hint="eastAsia" w:ascii="宋体" w:hAnsi="宋体"/>
                <w:szCs w:val="21"/>
              </w:rPr>
              <w:t>等基础数据</w:t>
            </w:r>
            <w:r>
              <w:rPr>
                <w:rFonts w:ascii="宋体" w:hAnsi="宋体"/>
                <w:szCs w:val="21"/>
              </w:rPr>
              <w:t>的统一管理，支持创建、修改、删除、查询各通行证功能</w:t>
            </w:r>
            <w:r>
              <w:rPr>
                <w:rFonts w:hint="eastAsia" w:ascii="宋体" w:hAnsi="宋体"/>
                <w:szCs w:val="21"/>
              </w:rPr>
              <w:t>。通过业务口和管理口从物理上分离</w:t>
            </w:r>
            <w:r>
              <w:rPr>
                <w:rFonts w:ascii="宋体" w:hAnsi="宋体"/>
                <w:szCs w:val="21"/>
              </w:rPr>
              <w:t>,使业务数据和管理数据相互间不会产生干扰</w:t>
            </w:r>
            <w:r>
              <w:rPr>
                <w:rFonts w:hint="eastAsia" w:ascii="宋体" w:hAnsi="宋体"/>
                <w:szCs w:val="21"/>
              </w:rPr>
              <w:t>，</w:t>
            </w:r>
            <w:r>
              <w:rPr>
                <w:rFonts w:ascii="宋体" w:hAnsi="宋体"/>
                <w:szCs w:val="21"/>
              </w:rPr>
              <w:t>提升系统</w:t>
            </w:r>
            <w:r>
              <w:rPr>
                <w:rFonts w:hint="eastAsia" w:ascii="宋体" w:hAnsi="宋体"/>
                <w:szCs w:val="21"/>
              </w:rPr>
              <w:t>稳定性和</w:t>
            </w:r>
            <w:r>
              <w:rPr>
                <w:rFonts w:ascii="宋体" w:hAnsi="宋体"/>
                <w:szCs w:val="21"/>
              </w:rPr>
              <w:t>可靠性</w:t>
            </w:r>
            <w:r>
              <w:rPr>
                <w:rFonts w:hint="eastAsia" w:ascii="宋体" w:hAnsi="宋体"/>
                <w:szCs w:val="21"/>
              </w:rPr>
              <w:t>。【</w:t>
            </w:r>
            <w:r>
              <w:rPr>
                <w:rFonts w:ascii="宋体" w:hAnsi="宋体"/>
                <w:szCs w:val="21"/>
              </w:rPr>
              <w:t>提供</w:t>
            </w:r>
            <w:r>
              <w:rPr>
                <w:rFonts w:hint="eastAsia" w:ascii="宋体" w:hAnsi="宋体"/>
                <w:szCs w:val="21"/>
              </w:rPr>
              <w:t>证明业务和管理分离的软件功能</w:t>
            </w:r>
            <w:r>
              <w:rPr>
                <w:rFonts w:ascii="宋体" w:hAnsi="宋体"/>
                <w:szCs w:val="21"/>
              </w:rPr>
              <w:t>截图</w:t>
            </w:r>
            <w:r>
              <w:rPr>
                <w:rFonts w:hint="eastAsia" w:ascii="宋体" w:hAnsi="宋体"/>
                <w:szCs w:val="21"/>
              </w:rPr>
              <w:t>】</w:t>
            </w:r>
          </w:p>
          <w:p w14:paraId="27982D27">
            <w:pPr>
              <w:pStyle w:val="103"/>
              <w:numPr>
                <w:ilvl w:val="0"/>
                <w:numId w:val="7"/>
              </w:numPr>
              <w:spacing w:line="360" w:lineRule="auto"/>
              <w:ind w:firstLineChars="0"/>
              <w:rPr>
                <w:rFonts w:ascii="宋体" w:hAnsi="宋体"/>
                <w:szCs w:val="21"/>
              </w:rPr>
            </w:pPr>
            <w:r>
              <w:rPr>
                <w:rFonts w:hint="eastAsia" w:ascii="宋体" w:hAnsi="宋体"/>
                <w:szCs w:val="21"/>
              </w:rPr>
              <w:t>系统支持兼容</w:t>
            </w:r>
            <w:r>
              <w:rPr>
                <w:rFonts w:hint="eastAsia" w:asciiTheme="minorEastAsia" w:hAnsiTheme="minorEastAsia"/>
                <w:szCs w:val="21"/>
              </w:rPr>
              <w:t>国产主流CPU、操作系统和数据库，满足国产化兼容</w:t>
            </w:r>
            <w:r>
              <w:rPr>
                <w:rFonts w:hint="eastAsia" w:ascii="宋体" w:hAnsi="宋体"/>
                <w:szCs w:val="21"/>
              </w:rPr>
              <w:t>改造。</w:t>
            </w:r>
          </w:p>
          <w:p w14:paraId="6FE8935D">
            <w:pPr>
              <w:pStyle w:val="103"/>
              <w:numPr>
                <w:ilvl w:val="0"/>
                <w:numId w:val="7"/>
              </w:numPr>
              <w:spacing w:line="360" w:lineRule="auto"/>
              <w:ind w:firstLineChars="0"/>
              <w:rPr>
                <w:rFonts w:ascii="宋体" w:hAnsi="宋体"/>
                <w:szCs w:val="21"/>
              </w:rPr>
            </w:pPr>
            <w:r>
              <w:rPr>
                <w:rFonts w:hint="eastAsia" w:ascii="宋体" w:hAnsi="宋体"/>
                <w:szCs w:val="21"/>
              </w:rPr>
              <w:t>▲</w:t>
            </w:r>
            <w:r>
              <w:rPr>
                <w:rFonts w:ascii="宋体" w:hAnsi="宋体"/>
                <w:szCs w:val="21"/>
              </w:rPr>
              <w:t>支持心电数据的采集、传输、诊断和数据归档的全流程跟踪管理，</w:t>
            </w:r>
            <w:r>
              <w:rPr>
                <w:rFonts w:hint="eastAsia" w:ascii="宋体" w:hAnsi="宋体"/>
                <w:szCs w:val="21"/>
              </w:rPr>
              <w:t>记</w:t>
            </w:r>
            <w:r>
              <w:rPr>
                <w:rFonts w:ascii="宋体" w:hAnsi="宋体"/>
                <w:szCs w:val="21"/>
              </w:rPr>
              <w:t>录每一份心电报告的生成过程，为功能调试、问题排查、问题定位等提供技术支撑和可靠保障。</w:t>
            </w:r>
            <w:r>
              <w:rPr>
                <w:rFonts w:hint="eastAsia" w:ascii="宋体" w:hAnsi="宋体"/>
                <w:szCs w:val="21"/>
              </w:rPr>
              <w:t>【</w:t>
            </w:r>
            <w:r>
              <w:rPr>
                <w:rFonts w:ascii="宋体" w:hAnsi="宋体"/>
                <w:szCs w:val="21"/>
              </w:rPr>
              <w:t>提供心电业务分析及运维监管系统</w:t>
            </w:r>
            <w:r>
              <w:rPr>
                <w:rFonts w:hint="eastAsia" w:ascii="宋体" w:hAnsi="宋体"/>
                <w:szCs w:val="21"/>
              </w:rPr>
              <w:t>自主知识产权证明】</w:t>
            </w:r>
          </w:p>
          <w:p w14:paraId="49674BCF">
            <w:pPr>
              <w:pStyle w:val="103"/>
              <w:numPr>
                <w:ilvl w:val="0"/>
                <w:numId w:val="7"/>
              </w:numPr>
              <w:spacing w:line="360" w:lineRule="auto"/>
              <w:ind w:firstLineChars="0"/>
              <w:rPr>
                <w:rFonts w:ascii="宋体" w:hAnsi="宋体"/>
                <w:szCs w:val="21"/>
              </w:rPr>
            </w:pPr>
            <w:r>
              <w:rPr>
                <w:rFonts w:ascii="宋体" w:hAnsi="宋体"/>
                <w:szCs w:val="21"/>
              </w:rPr>
              <w:t>系统安全应符合《信息安全技术信息系统安全等级保护基本要求》。</w:t>
            </w:r>
          </w:p>
          <w:p w14:paraId="60153B49">
            <w:pPr>
              <w:pStyle w:val="103"/>
              <w:numPr>
                <w:ilvl w:val="0"/>
                <w:numId w:val="7"/>
              </w:numPr>
              <w:spacing w:line="360" w:lineRule="auto"/>
              <w:ind w:firstLineChars="0"/>
              <w:rPr>
                <w:rFonts w:ascii="宋体" w:hAnsi="宋体"/>
                <w:szCs w:val="21"/>
              </w:rPr>
            </w:pPr>
            <w:r>
              <w:rPr>
                <w:rFonts w:hint="eastAsia" w:ascii="宋体" w:hAnsi="宋体"/>
                <w:szCs w:val="21"/>
              </w:rPr>
              <w:t>▲</w:t>
            </w:r>
            <w:r>
              <w:rPr>
                <w:rFonts w:hint="eastAsia" w:asciiTheme="minorEastAsia" w:hAnsiTheme="minorEastAsia"/>
                <w:szCs w:val="21"/>
              </w:rPr>
              <w:t>系统有经过</w:t>
            </w:r>
            <w:r>
              <w:rPr>
                <w:rFonts w:asciiTheme="minorEastAsia" w:hAnsiTheme="minorEastAsia"/>
                <w:szCs w:val="21"/>
              </w:rPr>
              <w:t>IHE</w:t>
            </w:r>
            <w:r>
              <w:rPr>
                <w:rFonts w:hint="eastAsia" w:asciiTheme="minorEastAsia" w:hAnsiTheme="minorEastAsia"/>
                <w:szCs w:val="21"/>
              </w:rPr>
              <w:t>数字心电诊断系统集成模式和功能角色的专项测试，可以满足与医疗卫生机构信息系统和设备之间的信息互联、互通、集成共享的要求。集成模式至少包含</w:t>
            </w:r>
            <w:r>
              <w:rPr>
                <w:rFonts w:asciiTheme="minorEastAsia" w:hAnsiTheme="minorEastAsia"/>
                <w:szCs w:val="21"/>
              </w:rPr>
              <w:t>REWF</w:t>
            </w:r>
            <w:r>
              <w:rPr>
                <w:rFonts w:hint="eastAsia" w:asciiTheme="minorEastAsia" w:hAnsiTheme="minorEastAsia"/>
                <w:szCs w:val="21"/>
              </w:rPr>
              <w:t>、</w:t>
            </w:r>
            <w:r>
              <w:rPr>
                <w:rFonts w:asciiTheme="minorEastAsia" w:hAnsiTheme="minorEastAsia"/>
                <w:szCs w:val="21"/>
              </w:rPr>
              <w:t>ECG</w:t>
            </w:r>
            <w:r>
              <w:rPr>
                <w:rFonts w:hint="eastAsia" w:asciiTheme="minorEastAsia" w:hAnsiTheme="minorEastAsia"/>
                <w:szCs w:val="21"/>
              </w:rPr>
              <w:t>、</w:t>
            </w:r>
            <w:r>
              <w:rPr>
                <w:rFonts w:asciiTheme="minorEastAsia" w:hAnsiTheme="minorEastAsia"/>
                <w:szCs w:val="21"/>
              </w:rPr>
              <w:t>DRPT</w:t>
            </w:r>
            <w:r>
              <w:rPr>
                <w:rFonts w:hint="eastAsia" w:asciiTheme="minorEastAsia" w:hAnsiTheme="minorEastAsia"/>
                <w:szCs w:val="21"/>
              </w:rPr>
              <w:t>等</w:t>
            </w:r>
            <w:r>
              <w:rPr>
                <w:rFonts w:asciiTheme="minorEastAsia" w:hAnsiTheme="minorEastAsia"/>
                <w:szCs w:val="21"/>
              </w:rPr>
              <w:t>3</w:t>
            </w:r>
            <w:r>
              <w:rPr>
                <w:rFonts w:hint="eastAsia" w:asciiTheme="minorEastAsia" w:hAnsiTheme="minorEastAsia"/>
                <w:szCs w:val="21"/>
              </w:rPr>
              <w:t>类，功能角色至少包含</w:t>
            </w:r>
            <w:r>
              <w:rPr>
                <w:rFonts w:asciiTheme="minorEastAsia" w:hAnsiTheme="minorEastAsia"/>
                <w:szCs w:val="21"/>
              </w:rPr>
              <w:t>EC</w:t>
            </w:r>
            <w:r>
              <w:rPr>
                <w:rFonts w:hint="eastAsia" w:asciiTheme="minorEastAsia" w:hAnsiTheme="minorEastAsia"/>
                <w:szCs w:val="21"/>
              </w:rPr>
              <w:t>、</w:t>
            </w:r>
            <w:r>
              <w:rPr>
                <w:rFonts w:asciiTheme="minorEastAsia" w:hAnsiTheme="minorEastAsia"/>
                <w:szCs w:val="21"/>
              </w:rPr>
              <w:t>ID</w:t>
            </w:r>
            <w:r>
              <w:rPr>
                <w:rFonts w:hint="eastAsia" w:asciiTheme="minorEastAsia" w:hAnsiTheme="minorEastAsia"/>
                <w:szCs w:val="21"/>
              </w:rPr>
              <w:t>、</w:t>
            </w:r>
            <w:r>
              <w:rPr>
                <w:rFonts w:asciiTheme="minorEastAsia" w:hAnsiTheme="minorEastAsia"/>
                <w:szCs w:val="21"/>
              </w:rPr>
              <w:t>INTEGRATED-ECG-MANAGER</w:t>
            </w:r>
            <w:r>
              <w:rPr>
                <w:rFonts w:hint="eastAsia" w:asciiTheme="minorEastAsia" w:hAnsiTheme="minorEastAsia"/>
                <w:szCs w:val="21"/>
              </w:rPr>
              <w:t>、</w:t>
            </w:r>
            <w:r>
              <w:rPr>
                <w:rFonts w:asciiTheme="minorEastAsia" w:hAnsiTheme="minorEastAsia"/>
                <w:szCs w:val="21"/>
              </w:rPr>
              <w:t>INFO_SRC</w:t>
            </w:r>
            <w:r>
              <w:rPr>
                <w:rFonts w:hint="eastAsia" w:asciiTheme="minorEastAsia" w:hAnsiTheme="minorEastAsia"/>
                <w:szCs w:val="21"/>
              </w:rPr>
              <w:t>、</w:t>
            </w:r>
            <w:r>
              <w:rPr>
                <w:rFonts w:asciiTheme="minorEastAsia" w:hAnsiTheme="minorEastAsia"/>
                <w:szCs w:val="21"/>
              </w:rPr>
              <w:t>Integrated Report Manager/Repository</w:t>
            </w:r>
            <w:r>
              <w:rPr>
                <w:rFonts w:hint="eastAsia" w:asciiTheme="minorEastAsia" w:hAnsiTheme="minorEastAsia"/>
                <w:szCs w:val="21"/>
              </w:rPr>
              <w:t>等</w:t>
            </w:r>
            <w:r>
              <w:rPr>
                <w:rFonts w:asciiTheme="minorEastAsia" w:hAnsiTheme="minorEastAsia"/>
                <w:szCs w:val="21"/>
              </w:rPr>
              <w:t>5</w:t>
            </w:r>
            <w:r>
              <w:rPr>
                <w:rFonts w:hint="eastAsia" w:asciiTheme="minorEastAsia" w:hAnsiTheme="minorEastAsia"/>
                <w:szCs w:val="21"/>
              </w:rPr>
              <w:t>种。【提供通过测试的证明文件】。</w:t>
            </w:r>
          </w:p>
        </w:tc>
      </w:tr>
      <w:tr w14:paraId="78FF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vAlign w:val="center"/>
          </w:tcPr>
          <w:p w14:paraId="732E4535">
            <w:pPr>
              <w:pStyle w:val="103"/>
              <w:ind w:firstLine="0" w:firstLineChars="0"/>
              <w:rPr>
                <w:b/>
                <w:bCs/>
                <w:szCs w:val="21"/>
              </w:rPr>
            </w:pPr>
            <w:r>
              <w:rPr>
                <w:rFonts w:hint="eastAsia"/>
                <w:b/>
                <w:bCs/>
                <w:szCs w:val="21"/>
              </w:rPr>
              <w:t>2</w:t>
            </w:r>
          </w:p>
        </w:tc>
        <w:tc>
          <w:tcPr>
            <w:tcW w:w="1260" w:type="dxa"/>
            <w:vAlign w:val="center"/>
          </w:tcPr>
          <w:p w14:paraId="16A7F0C6">
            <w:pPr>
              <w:jc w:val="center"/>
              <w:rPr>
                <w:b/>
                <w:bCs/>
                <w:szCs w:val="21"/>
              </w:rPr>
            </w:pPr>
            <w:r>
              <w:rPr>
                <w:rFonts w:hint="eastAsia"/>
                <w:b/>
                <w:bCs/>
                <w:szCs w:val="21"/>
              </w:rPr>
              <w:t>多院区管理</w:t>
            </w:r>
          </w:p>
        </w:tc>
        <w:tc>
          <w:tcPr>
            <w:tcW w:w="6486" w:type="dxa"/>
          </w:tcPr>
          <w:p w14:paraId="10B1618E">
            <w:pPr>
              <w:pStyle w:val="103"/>
              <w:numPr>
                <w:ilvl w:val="0"/>
                <w:numId w:val="7"/>
              </w:numPr>
              <w:spacing w:line="360" w:lineRule="auto"/>
              <w:ind w:firstLineChars="0"/>
              <w:rPr>
                <w:rFonts w:ascii="宋体" w:hAnsi="宋体"/>
              </w:rPr>
            </w:pPr>
            <w:r>
              <w:rPr>
                <w:rFonts w:ascii="宋体" w:hAnsi="宋体"/>
              </w:rPr>
              <w:t>支持</w:t>
            </w:r>
            <w:r>
              <w:rPr>
                <w:rFonts w:hint="eastAsia" w:ascii="宋体" w:hAnsi="宋体"/>
              </w:rPr>
              <w:t>总院分院</w:t>
            </w:r>
            <w:r>
              <w:rPr>
                <w:rFonts w:ascii="宋体" w:hAnsi="宋体"/>
              </w:rPr>
              <w:t>下门诊、急诊、体检、病房全覆盖，静息心电、动态心电、动态血压以及电生理统一管理。</w:t>
            </w:r>
          </w:p>
          <w:p w14:paraId="5BACD83D">
            <w:pPr>
              <w:pStyle w:val="103"/>
              <w:numPr>
                <w:ilvl w:val="0"/>
                <w:numId w:val="7"/>
              </w:numPr>
              <w:spacing w:line="360" w:lineRule="auto"/>
              <w:ind w:firstLineChars="0"/>
              <w:rPr>
                <w:rFonts w:ascii="宋体" w:hAnsi="宋体"/>
              </w:rPr>
            </w:pPr>
            <w:r>
              <w:rPr>
                <w:rFonts w:ascii="宋体" w:hAnsi="宋体"/>
              </w:rPr>
              <w:t>支持每个院区下心电电生理检查预约、检查、诊断、监管、归档的全流程管理。</w:t>
            </w:r>
          </w:p>
          <w:p w14:paraId="32CDBBEF">
            <w:pPr>
              <w:pStyle w:val="103"/>
              <w:numPr>
                <w:ilvl w:val="0"/>
                <w:numId w:val="7"/>
              </w:numPr>
              <w:spacing w:line="360" w:lineRule="auto"/>
              <w:ind w:firstLineChars="0"/>
              <w:rPr>
                <w:rFonts w:ascii="宋体" w:hAnsi="宋体"/>
              </w:rPr>
            </w:pPr>
            <w:r>
              <w:rPr>
                <w:rFonts w:ascii="宋体" w:hAnsi="宋体"/>
              </w:rPr>
              <w:t>支持多院区业务开展，各院区院内业务可以独立运行。</w:t>
            </w:r>
          </w:p>
          <w:p w14:paraId="1DBBEEB1">
            <w:pPr>
              <w:pStyle w:val="103"/>
              <w:numPr>
                <w:ilvl w:val="0"/>
                <w:numId w:val="7"/>
              </w:numPr>
              <w:spacing w:line="360" w:lineRule="auto"/>
              <w:ind w:firstLineChars="0"/>
              <w:rPr>
                <w:rFonts w:ascii="宋体" w:hAnsi="宋体"/>
              </w:rPr>
            </w:pPr>
            <w:r>
              <w:rPr>
                <w:rFonts w:ascii="宋体" w:hAnsi="宋体"/>
              </w:rPr>
              <w:t>支持院区交互：院区之间通过平台实现远程会诊交互能力。院内遇到疑难病例可申请到其他院区进行会诊。</w:t>
            </w:r>
          </w:p>
          <w:p w14:paraId="65A09819">
            <w:pPr>
              <w:pStyle w:val="103"/>
              <w:numPr>
                <w:ilvl w:val="0"/>
                <w:numId w:val="7"/>
              </w:numPr>
              <w:spacing w:line="360" w:lineRule="auto"/>
              <w:ind w:firstLineChars="0"/>
              <w:rPr>
                <w:rFonts w:ascii="宋体" w:hAnsi="宋体"/>
              </w:rPr>
            </w:pPr>
            <w:r>
              <w:rPr>
                <w:rFonts w:ascii="宋体" w:hAnsi="宋体"/>
              </w:rPr>
              <w:t>具备统一管理功能，各院区心电数据归档至数据中心，实现全院数据的统一存储和调阅，通过统一管理平台，实现权限管理和数据的分级利用，实现各院区之间的互联互通。</w:t>
            </w:r>
          </w:p>
          <w:p w14:paraId="098CD782">
            <w:pPr>
              <w:pStyle w:val="103"/>
              <w:numPr>
                <w:ilvl w:val="0"/>
                <w:numId w:val="7"/>
              </w:numPr>
              <w:spacing w:line="360" w:lineRule="auto"/>
              <w:ind w:firstLineChars="0"/>
              <w:rPr>
                <w:rFonts w:ascii="宋体" w:hAnsi="宋体"/>
                <w:vanish/>
                <w:szCs w:val="21"/>
              </w:rPr>
            </w:pPr>
            <w:r>
              <w:rPr>
                <w:rFonts w:ascii="宋体" w:hAnsi="宋体"/>
              </w:rPr>
              <w:t>具有完整的机构和分级权限管理系统，能够对院区、科室、部门、人员等进行统一管理，可针对不同人员授予不同的权限，使用者只能做已授权的操作。</w:t>
            </w:r>
          </w:p>
        </w:tc>
      </w:tr>
      <w:tr w14:paraId="0958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vAlign w:val="center"/>
          </w:tcPr>
          <w:p w14:paraId="4080DC82">
            <w:pPr>
              <w:pStyle w:val="103"/>
              <w:ind w:firstLine="0" w:firstLineChars="0"/>
              <w:rPr>
                <w:b/>
                <w:bCs/>
                <w:szCs w:val="21"/>
              </w:rPr>
            </w:pPr>
            <w:r>
              <w:rPr>
                <w:rFonts w:hint="eastAsia"/>
                <w:b/>
                <w:bCs/>
                <w:szCs w:val="21"/>
              </w:rPr>
              <w:t>3</w:t>
            </w:r>
          </w:p>
        </w:tc>
        <w:tc>
          <w:tcPr>
            <w:tcW w:w="1260" w:type="dxa"/>
            <w:vAlign w:val="center"/>
          </w:tcPr>
          <w:p w14:paraId="5827DB19">
            <w:pPr>
              <w:jc w:val="center"/>
              <w:rPr>
                <w:b/>
                <w:bCs/>
                <w:szCs w:val="21"/>
              </w:rPr>
            </w:pPr>
            <w:r>
              <w:rPr>
                <w:rFonts w:hint="eastAsia"/>
                <w:b/>
                <w:bCs/>
                <w:szCs w:val="21"/>
              </w:rPr>
              <w:t>数据监管系统</w:t>
            </w:r>
          </w:p>
        </w:tc>
        <w:tc>
          <w:tcPr>
            <w:tcW w:w="6486" w:type="dxa"/>
          </w:tcPr>
          <w:p w14:paraId="7E69C1B3">
            <w:pPr>
              <w:pStyle w:val="103"/>
              <w:widowControl/>
              <w:numPr>
                <w:ilvl w:val="0"/>
                <w:numId w:val="7"/>
              </w:numPr>
              <w:spacing w:line="360" w:lineRule="auto"/>
              <w:ind w:firstLineChars="0"/>
              <w:jc w:val="left"/>
              <w:rPr>
                <w:rFonts w:ascii="宋体" w:hAnsi="宋体"/>
                <w:szCs w:val="21"/>
              </w:rPr>
            </w:pPr>
            <w:r>
              <w:rPr>
                <w:rFonts w:hint="eastAsia" w:ascii="宋体" w:hAnsi="宋体"/>
                <w:szCs w:val="21"/>
              </w:rPr>
              <w:t>支持查看诊断分级和诊断分布情况，诊断分级通过饼图展示，统计时间内正常、危急、阳性、采集不良的数据分布情况，同时显示危急和阳性心电图在总体中的占比；诊断分布通过柱状图展示，统计时间内房颤、房性早搏、室性早搏、急性心肌梗死等病种的自动诊断和医生诊断的占比情况。</w:t>
            </w:r>
          </w:p>
          <w:p w14:paraId="3BD78B4A">
            <w:pPr>
              <w:pStyle w:val="103"/>
              <w:numPr>
                <w:ilvl w:val="0"/>
                <w:numId w:val="7"/>
              </w:numPr>
              <w:spacing w:line="360" w:lineRule="auto"/>
              <w:ind w:firstLineChars="0"/>
              <w:rPr>
                <w:rFonts w:ascii="宋体" w:hAnsi="宋体"/>
                <w:szCs w:val="21"/>
              </w:rPr>
            </w:pPr>
            <w:r>
              <w:rPr>
                <w:rFonts w:hint="eastAsia" w:ascii="宋体" w:hAnsi="宋体"/>
                <w:szCs w:val="21"/>
              </w:rPr>
              <w:t>统计分析：实现管理部门对病种、医生、检查报告的统计分析。</w:t>
            </w:r>
          </w:p>
          <w:p w14:paraId="0D001B55">
            <w:pPr>
              <w:pStyle w:val="103"/>
              <w:numPr>
                <w:ilvl w:val="0"/>
                <w:numId w:val="7"/>
              </w:numPr>
              <w:spacing w:line="360" w:lineRule="auto"/>
              <w:ind w:firstLineChars="0"/>
              <w:rPr>
                <w:rFonts w:ascii="宋体" w:hAnsi="宋体"/>
                <w:szCs w:val="21"/>
              </w:rPr>
            </w:pPr>
            <w:r>
              <w:rPr>
                <w:rFonts w:hint="eastAsia" w:ascii="宋体" w:hAnsi="宋体"/>
                <w:szCs w:val="21"/>
              </w:rPr>
              <w:t>支持根据机构、诊断中心查看报告检查量、诊断量。</w:t>
            </w:r>
          </w:p>
          <w:p w14:paraId="6A503E4E">
            <w:pPr>
              <w:pStyle w:val="103"/>
              <w:numPr>
                <w:ilvl w:val="0"/>
                <w:numId w:val="7"/>
              </w:numPr>
              <w:spacing w:line="360" w:lineRule="auto"/>
              <w:ind w:firstLineChars="0"/>
              <w:rPr>
                <w:rFonts w:ascii="宋体" w:hAnsi="宋体"/>
                <w:szCs w:val="21"/>
              </w:rPr>
            </w:pPr>
            <w:r>
              <w:rPr>
                <w:rFonts w:hint="eastAsia" w:ascii="宋体" w:hAnsi="宋体"/>
                <w:szCs w:val="21"/>
              </w:rPr>
              <w:t>支持诊断来源分布统计。</w:t>
            </w:r>
          </w:p>
          <w:p w14:paraId="785F4093">
            <w:pPr>
              <w:pStyle w:val="103"/>
              <w:numPr>
                <w:ilvl w:val="0"/>
                <w:numId w:val="7"/>
              </w:numPr>
              <w:spacing w:line="360" w:lineRule="auto"/>
              <w:ind w:firstLineChars="0"/>
              <w:rPr>
                <w:rFonts w:ascii="宋体" w:hAnsi="宋体"/>
                <w:szCs w:val="21"/>
              </w:rPr>
            </w:pPr>
            <w:r>
              <w:rPr>
                <w:rFonts w:hint="eastAsia" w:ascii="宋体" w:hAnsi="宋体"/>
                <w:szCs w:val="21"/>
              </w:rPr>
              <w:t>支持危急值统计分析，支持列表和柱状图展示。</w:t>
            </w:r>
          </w:p>
          <w:p w14:paraId="3CEFE19C">
            <w:pPr>
              <w:pStyle w:val="103"/>
              <w:numPr>
                <w:ilvl w:val="0"/>
                <w:numId w:val="7"/>
              </w:numPr>
              <w:spacing w:line="360" w:lineRule="auto"/>
              <w:ind w:firstLineChars="0"/>
              <w:rPr>
                <w:rFonts w:ascii="宋体" w:hAnsi="宋体"/>
                <w:szCs w:val="21"/>
              </w:rPr>
            </w:pPr>
            <w:r>
              <w:rPr>
                <w:rFonts w:hint="eastAsia" w:ascii="宋体" w:hAnsi="宋体"/>
                <w:szCs w:val="21"/>
              </w:rPr>
              <w:t>▲支持通过心电人工智能进行质控分析，评估诊断医生和诊断组的诊断质量，进一步明确后续的培训方向和提高培训效果。【提供心电人工智能质控中心系统</w:t>
            </w:r>
            <w:r>
              <w:rPr>
                <w:rFonts w:hint="eastAsia"/>
                <w:bCs/>
                <w:szCs w:val="21"/>
              </w:rPr>
              <w:t>自主知识产权证明</w:t>
            </w:r>
            <w:r>
              <w:rPr>
                <w:rFonts w:hint="eastAsia" w:ascii="宋体" w:hAnsi="宋体"/>
                <w:szCs w:val="21"/>
              </w:rPr>
              <w:t>】</w:t>
            </w:r>
          </w:p>
        </w:tc>
      </w:tr>
      <w:tr w14:paraId="03D4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vAlign w:val="center"/>
          </w:tcPr>
          <w:p w14:paraId="44EE3920">
            <w:pPr>
              <w:pStyle w:val="103"/>
              <w:ind w:firstLine="0" w:firstLineChars="0"/>
              <w:rPr>
                <w:b/>
                <w:bCs/>
                <w:szCs w:val="21"/>
              </w:rPr>
            </w:pPr>
            <w:r>
              <w:rPr>
                <w:rFonts w:hint="eastAsia"/>
                <w:b/>
                <w:bCs/>
                <w:szCs w:val="21"/>
              </w:rPr>
              <w:t>4</w:t>
            </w:r>
          </w:p>
        </w:tc>
        <w:tc>
          <w:tcPr>
            <w:tcW w:w="1260" w:type="dxa"/>
            <w:vAlign w:val="center"/>
          </w:tcPr>
          <w:p w14:paraId="3CC09C7F">
            <w:pPr>
              <w:jc w:val="center"/>
              <w:rPr>
                <w:b/>
                <w:bCs/>
                <w:szCs w:val="21"/>
              </w:rPr>
            </w:pPr>
            <w:r>
              <w:rPr>
                <w:rFonts w:hint="eastAsia"/>
                <w:b/>
                <w:bCs/>
                <w:szCs w:val="21"/>
              </w:rPr>
              <w:t>三合一医生工作站</w:t>
            </w:r>
          </w:p>
        </w:tc>
        <w:tc>
          <w:tcPr>
            <w:tcW w:w="6486" w:type="dxa"/>
          </w:tcPr>
          <w:p w14:paraId="387899AA">
            <w:pPr>
              <w:pStyle w:val="103"/>
              <w:numPr>
                <w:ilvl w:val="0"/>
                <w:numId w:val="7"/>
              </w:numPr>
              <w:spacing w:line="360" w:lineRule="auto"/>
              <w:ind w:firstLineChars="0"/>
              <w:rPr>
                <w:rFonts w:ascii="宋体" w:hAnsi="宋体"/>
                <w:szCs w:val="21"/>
              </w:rPr>
            </w:pPr>
            <w:r>
              <w:rPr>
                <w:rFonts w:hint="eastAsia" w:ascii="宋体" w:hAnsi="宋体"/>
                <w:szCs w:val="21"/>
              </w:rPr>
              <w:t>叫号系统支持设置多个候诊状态并进行语音播报。</w:t>
            </w:r>
          </w:p>
          <w:p w14:paraId="23D3DE62">
            <w:pPr>
              <w:pStyle w:val="103"/>
              <w:numPr>
                <w:ilvl w:val="0"/>
                <w:numId w:val="7"/>
              </w:numPr>
              <w:spacing w:line="360" w:lineRule="auto"/>
              <w:ind w:firstLineChars="0"/>
              <w:rPr>
                <w:rFonts w:ascii="宋体" w:hAnsi="宋体"/>
                <w:szCs w:val="21"/>
              </w:rPr>
            </w:pPr>
            <w:r>
              <w:rPr>
                <w:rFonts w:hint="eastAsia" w:ascii="宋体" w:hAnsi="宋体"/>
                <w:szCs w:val="21"/>
              </w:rPr>
              <w:t>▲为满足医院业务发展需要，医生工作站须提供静息心电、动态心电、动态血压综合分析功能：一套软件即可以进行静息心电、动态心电、动态血压三种检查的分析会诊工作，支持具有对应检查特点的专业分析工具。【提供功能界面截图及静息动态心电血压综合分析系统自主知识产权证明】</w:t>
            </w:r>
          </w:p>
          <w:p w14:paraId="449918AD">
            <w:pPr>
              <w:pStyle w:val="103"/>
              <w:numPr>
                <w:ilvl w:val="0"/>
                <w:numId w:val="7"/>
              </w:numPr>
              <w:spacing w:line="360" w:lineRule="auto"/>
              <w:ind w:firstLineChars="0"/>
              <w:rPr>
                <w:rFonts w:ascii="宋体" w:hAnsi="宋体"/>
                <w:szCs w:val="21"/>
              </w:rPr>
            </w:pPr>
            <w:r>
              <w:rPr>
                <w:rFonts w:ascii="宋体" w:hAnsi="宋体"/>
                <w:szCs w:val="21"/>
              </w:rPr>
              <w:t>支持</w:t>
            </w:r>
            <w:r>
              <w:rPr>
                <w:rFonts w:hint="eastAsia" w:ascii="宋体" w:hAnsi="宋体"/>
                <w:szCs w:val="21"/>
              </w:rPr>
              <w:t>静息心电、动态心电、动态血压、电生理等</w:t>
            </w:r>
            <w:r>
              <w:rPr>
                <w:rFonts w:ascii="宋体" w:hAnsi="宋体"/>
                <w:szCs w:val="21"/>
              </w:rPr>
              <w:t>多种业务类型统一预约</w:t>
            </w:r>
            <w:r>
              <w:rPr>
                <w:rFonts w:hint="eastAsia" w:ascii="宋体" w:hAnsi="宋体"/>
                <w:szCs w:val="21"/>
              </w:rPr>
              <w:t>。</w:t>
            </w:r>
          </w:p>
          <w:p w14:paraId="2DDEADD8">
            <w:pPr>
              <w:pStyle w:val="103"/>
              <w:numPr>
                <w:ilvl w:val="0"/>
                <w:numId w:val="7"/>
              </w:numPr>
              <w:spacing w:line="360" w:lineRule="auto"/>
              <w:ind w:firstLineChars="0"/>
              <w:rPr>
                <w:rFonts w:ascii="宋体" w:hAnsi="宋体"/>
                <w:szCs w:val="21"/>
              </w:rPr>
            </w:pPr>
            <w:r>
              <w:rPr>
                <w:rFonts w:hint="eastAsia" w:ascii="宋体" w:hAnsi="宋体"/>
                <w:szCs w:val="21"/>
              </w:rPr>
              <w:t>心电图诊断报告系统具备权限管理功能，给不同的医生进行权限配置。</w:t>
            </w:r>
          </w:p>
          <w:p w14:paraId="0DD552B8">
            <w:pPr>
              <w:pStyle w:val="103"/>
              <w:numPr>
                <w:ilvl w:val="0"/>
                <w:numId w:val="7"/>
              </w:numPr>
              <w:spacing w:line="360" w:lineRule="auto"/>
              <w:ind w:firstLineChars="0"/>
              <w:rPr>
                <w:rFonts w:ascii="宋体" w:hAnsi="宋体"/>
                <w:szCs w:val="21"/>
              </w:rPr>
            </w:pPr>
            <w:r>
              <w:rPr>
                <w:rFonts w:hint="eastAsia" w:ascii="宋体" w:hAnsi="宋体"/>
                <w:szCs w:val="21"/>
              </w:rPr>
              <w:t>▲提供标准的心电图诊断词条，辅助医生快速进行报告编辑，在编辑过程中支持词条模糊查询及词条与测值的联动。【提供心电专家智库系统自主知识产权证明】</w:t>
            </w:r>
          </w:p>
          <w:p w14:paraId="79E88E57">
            <w:pPr>
              <w:pStyle w:val="103"/>
              <w:numPr>
                <w:ilvl w:val="0"/>
                <w:numId w:val="7"/>
              </w:numPr>
              <w:spacing w:line="360" w:lineRule="auto"/>
              <w:ind w:firstLineChars="0"/>
              <w:rPr>
                <w:rFonts w:ascii="宋体" w:hAnsi="宋体"/>
                <w:szCs w:val="21"/>
              </w:rPr>
            </w:pPr>
            <w:r>
              <w:rPr>
                <w:rFonts w:hint="eastAsia" w:ascii="宋体" w:hAnsi="宋体"/>
                <w:szCs w:val="21"/>
              </w:rPr>
              <w:t>系统支持设置强制审核模式，设置为强制审核模式的报告必须进行双签之后才能发布，以满足医院多业务形态的需要。</w:t>
            </w:r>
          </w:p>
          <w:p w14:paraId="66B2CB5D">
            <w:pPr>
              <w:pStyle w:val="103"/>
              <w:numPr>
                <w:ilvl w:val="0"/>
                <w:numId w:val="7"/>
              </w:numPr>
              <w:spacing w:line="360" w:lineRule="auto"/>
              <w:ind w:firstLineChars="0"/>
              <w:rPr>
                <w:rFonts w:ascii="宋体" w:hAnsi="宋体"/>
                <w:szCs w:val="21"/>
              </w:rPr>
            </w:pPr>
            <w:r>
              <w:rPr>
                <w:rFonts w:hint="eastAsia" w:ascii="宋体" w:hAnsi="宋体"/>
                <w:szCs w:val="21"/>
              </w:rPr>
              <w:t>接收到远程诊断申请后，系统支持后台预分析，对于系统已经判断出存在危险情况的病人标明危急，在客户端、</w:t>
            </w:r>
            <w:r>
              <w:rPr>
                <w:rFonts w:ascii="宋体" w:hAnsi="宋体"/>
                <w:szCs w:val="21"/>
              </w:rPr>
              <w:t>web端、移动端以弹窗、消息等多种方式向诊断医生</w:t>
            </w:r>
            <w:r>
              <w:rPr>
                <w:rFonts w:hint="eastAsia" w:ascii="宋体" w:hAnsi="宋体"/>
                <w:szCs w:val="21"/>
              </w:rPr>
              <w:t>预警</w:t>
            </w:r>
            <w:r>
              <w:rPr>
                <w:rFonts w:ascii="宋体" w:hAnsi="宋体"/>
                <w:szCs w:val="21"/>
              </w:rPr>
              <w:t>。</w:t>
            </w:r>
          </w:p>
          <w:p w14:paraId="3A43ACE2">
            <w:pPr>
              <w:pStyle w:val="103"/>
              <w:numPr>
                <w:ilvl w:val="0"/>
                <w:numId w:val="7"/>
              </w:numPr>
              <w:spacing w:line="360" w:lineRule="auto"/>
              <w:ind w:firstLineChars="0"/>
              <w:rPr>
                <w:rFonts w:ascii="宋体" w:hAnsi="宋体"/>
                <w:szCs w:val="21"/>
              </w:rPr>
            </w:pPr>
            <w:r>
              <w:rPr>
                <w:rFonts w:hint="eastAsia" w:ascii="宋体" w:hAnsi="宋体"/>
                <w:szCs w:val="21"/>
              </w:rPr>
              <w:t>▲支持在诊断界面将心电图原始数据生成二维码，并通过手机端微信小程序进行扫码查看、诊断和分享，通过手机扫码方式实现内网到外网的数据传输，物理隔离保障网络安全。【需提供软件界面截图证明及承诺函，并在项目中标后3个自然日内根据采购人指定地点进行功能演示】</w:t>
            </w:r>
          </w:p>
          <w:p w14:paraId="619B1DD5">
            <w:pPr>
              <w:pStyle w:val="103"/>
              <w:numPr>
                <w:ilvl w:val="0"/>
                <w:numId w:val="7"/>
              </w:numPr>
              <w:spacing w:line="360" w:lineRule="auto"/>
              <w:ind w:firstLineChars="0"/>
              <w:rPr>
                <w:rFonts w:ascii="宋体" w:hAnsi="宋体"/>
                <w:szCs w:val="21"/>
              </w:rPr>
            </w:pPr>
            <w:r>
              <w:rPr>
                <w:rFonts w:hint="eastAsia" w:ascii="宋体" w:hAnsi="宋体"/>
                <w:szCs w:val="21"/>
              </w:rPr>
              <w:t>支持在心电图波形区域的异常位置做标记，提供图像注释说明记录。</w:t>
            </w:r>
          </w:p>
          <w:p w14:paraId="7DA44742">
            <w:pPr>
              <w:pStyle w:val="103"/>
              <w:numPr>
                <w:ilvl w:val="0"/>
                <w:numId w:val="7"/>
              </w:numPr>
              <w:spacing w:line="360" w:lineRule="auto"/>
              <w:ind w:firstLineChars="0"/>
              <w:rPr>
                <w:rFonts w:ascii="宋体" w:hAnsi="宋体"/>
                <w:szCs w:val="21"/>
              </w:rPr>
            </w:pPr>
            <w:r>
              <w:rPr>
                <w:rFonts w:hint="eastAsia" w:ascii="宋体" w:hAnsi="宋体"/>
                <w:szCs w:val="21"/>
              </w:rPr>
              <w:t>支持测值根据词条联动，如死亡心电图/无心电活动：所有测值置“/”，房颤：房率、P波时限、PR间期、P电轴置“/”，房扑：P波时限、PR间期、P电轴置“/”。</w:t>
            </w:r>
          </w:p>
          <w:p w14:paraId="2DE61A62">
            <w:pPr>
              <w:pStyle w:val="103"/>
              <w:numPr>
                <w:ilvl w:val="0"/>
                <w:numId w:val="7"/>
              </w:numPr>
              <w:spacing w:line="360" w:lineRule="auto"/>
              <w:ind w:firstLineChars="0"/>
              <w:rPr>
                <w:rFonts w:ascii="宋体" w:hAnsi="宋体"/>
                <w:szCs w:val="21"/>
              </w:rPr>
            </w:pPr>
            <w:r>
              <w:rPr>
                <w:rFonts w:hint="eastAsia" w:ascii="宋体" w:hAnsi="宋体"/>
                <w:szCs w:val="21"/>
              </w:rPr>
              <w:t>为保护受检者信息安全，报告分享支持脱敏显示。</w:t>
            </w:r>
          </w:p>
          <w:p w14:paraId="474FBF74">
            <w:pPr>
              <w:pStyle w:val="103"/>
              <w:numPr>
                <w:ilvl w:val="0"/>
                <w:numId w:val="7"/>
              </w:numPr>
              <w:spacing w:line="360" w:lineRule="auto"/>
              <w:ind w:firstLineChars="0"/>
              <w:rPr>
                <w:rFonts w:ascii="宋体" w:hAnsi="宋体"/>
                <w:szCs w:val="21"/>
              </w:rPr>
            </w:pPr>
            <w:r>
              <w:rPr>
                <w:rFonts w:hint="eastAsia" w:ascii="宋体" w:hAnsi="宋体"/>
                <w:szCs w:val="21"/>
              </w:rPr>
              <w:t>支持修改系统名称及系统logo，实现个性化订制。</w:t>
            </w:r>
          </w:p>
          <w:p w14:paraId="59CCAE06">
            <w:pPr>
              <w:spacing w:line="360" w:lineRule="auto"/>
              <w:rPr>
                <w:rFonts w:ascii="宋体" w:hAnsi="宋体"/>
                <w:b/>
                <w:bCs/>
                <w:szCs w:val="21"/>
              </w:rPr>
            </w:pPr>
            <w:r>
              <w:rPr>
                <w:rFonts w:hint="eastAsia" w:ascii="宋体" w:hAnsi="宋体"/>
                <w:b/>
                <w:bCs/>
                <w:szCs w:val="21"/>
              </w:rPr>
              <w:t>动态心电分析：</w:t>
            </w:r>
          </w:p>
          <w:p w14:paraId="6EBD27EA">
            <w:pPr>
              <w:pStyle w:val="103"/>
              <w:numPr>
                <w:ilvl w:val="0"/>
                <w:numId w:val="7"/>
              </w:numPr>
              <w:spacing w:line="360" w:lineRule="auto"/>
              <w:ind w:firstLineChars="0"/>
              <w:rPr>
                <w:rFonts w:ascii="宋体" w:hAnsi="宋体"/>
              </w:rPr>
            </w:pPr>
            <w:r>
              <w:rPr>
                <w:rFonts w:hint="eastAsia" w:ascii="宋体" w:hAnsi="宋体"/>
              </w:rPr>
              <w:t>▲采样精度≥24位【提供医疗器械注册检验证明】</w:t>
            </w:r>
          </w:p>
          <w:p w14:paraId="3C208B81">
            <w:pPr>
              <w:pStyle w:val="103"/>
              <w:numPr>
                <w:ilvl w:val="0"/>
                <w:numId w:val="7"/>
              </w:numPr>
              <w:spacing w:line="360" w:lineRule="auto"/>
              <w:ind w:firstLineChars="0"/>
              <w:rPr>
                <w:rFonts w:ascii="宋体" w:hAnsi="宋体"/>
              </w:rPr>
            </w:pPr>
            <w:r>
              <w:rPr>
                <w:rFonts w:hint="eastAsia" w:ascii="宋体" w:hAnsi="宋体"/>
              </w:rPr>
              <w:t>▲耐极化电压：±600mV【提供医疗器械注册检验证明】</w:t>
            </w:r>
          </w:p>
          <w:p w14:paraId="0592C004">
            <w:pPr>
              <w:pStyle w:val="103"/>
              <w:numPr>
                <w:ilvl w:val="0"/>
                <w:numId w:val="7"/>
              </w:numPr>
              <w:spacing w:line="360" w:lineRule="auto"/>
              <w:ind w:firstLineChars="0"/>
              <w:rPr>
                <w:rFonts w:ascii="宋体" w:hAnsi="宋体"/>
                <w:szCs w:val="21"/>
              </w:rPr>
            </w:pPr>
            <w:r>
              <w:rPr>
                <w:rFonts w:hint="eastAsia" w:ascii="宋体" w:hAnsi="宋体"/>
                <w:szCs w:val="21"/>
              </w:rPr>
              <w:t>提供多种动态分析工具：K线图、直方图、散点图、栅栏图、诊断图、波形全览图等功能。</w:t>
            </w:r>
          </w:p>
          <w:p w14:paraId="552937B1">
            <w:pPr>
              <w:pStyle w:val="103"/>
              <w:numPr>
                <w:ilvl w:val="0"/>
                <w:numId w:val="7"/>
              </w:numPr>
              <w:spacing w:line="360" w:lineRule="auto"/>
              <w:ind w:firstLineChars="0"/>
              <w:rPr>
                <w:rFonts w:ascii="宋体" w:hAnsi="宋体"/>
                <w:szCs w:val="21"/>
              </w:rPr>
            </w:pPr>
            <w:r>
              <w:rPr>
                <w:rFonts w:hint="eastAsia" w:ascii="宋体" w:hAnsi="宋体"/>
                <w:szCs w:val="21"/>
              </w:rPr>
              <w:t>▲动态心电具备自动分析功能。自动分析功能自动识别心搏类型包括正常（N）、房早（S）、室早（V）、房颤（Af）、起搏（P）和伪差（X）；用户可以手动标记和修改心搏。【需要提供经药监局注册检验的证明资料】</w:t>
            </w:r>
          </w:p>
          <w:p w14:paraId="05B9A56F">
            <w:pPr>
              <w:pStyle w:val="103"/>
              <w:numPr>
                <w:ilvl w:val="0"/>
                <w:numId w:val="7"/>
              </w:numPr>
              <w:spacing w:line="360" w:lineRule="auto"/>
              <w:ind w:firstLineChars="0"/>
              <w:rPr>
                <w:rFonts w:ascii="宋体" w:hAnsi="宋体"/>
                <w:szCs w:val="21"/>
              </w:rPr>
            </w:pPr>
            <w:r>
              <w:rPr>
                <w:rFonts w:hint="eastAsia" w:ascii="宋体" w:hAnsi="宋体"/>
                <w:szCs w:val="21"/>
              </w:rPr>
              <w:t>▲支持房颤默认自动分析、全导联起搏检测功能；【提供经国家药品监督管理局直属检测单位签发的检测报告】</w:t>
            </w:r>
          </w:p>
          <w:p w14:paraId="52DDF3BD">
            <w:pPr>
              <w:pStyle w:val="103"/>
              <w:numPr>
                <w:ilvl w:val="0"/>
                <w:numId w:val="7"/>
              </w:numPr>
              <w:spacing w:line="360" w:lineRule="auto"/>
              <w:ind w:firstLineChars="0"/>
              <w:rPr>
                <w:rFonts w:ascii="宋体" w:hAnsi="宋体"/>
                <w:szCs w:val="21"/>
              </w:rPr>
            </w:pPr>
            <w:r>
              <w:rPr>
                <w:rFonts w:hint="eastAsia" w:ascii="宋体" w:hAnsi="宋体"/>
                <w:szCs w:val="21"/>
              </w:rPr>
              <w:t>▲提供PR间期趋势图功能；【提供软件界面截图证明材料】</w:t>
            </w:r>
          </w:p>
          <w:p w14:paraId="347FC1FB">
            <w:pPr>
              <w:pStyle w:val="103"/>
              <w:numPr>
                <w:ilvl w:val="0"/>
                <w:numId w:val="7"/>
              </w:numPr>
              <w:spacing w:line="360" w:lineRule="auto"/>
              <w:ind w:firstLineChars="0"/>
              <w:rPr>
                <w:rFonts w:ascii="宋体" w:hAnsi="宋体"/>
                <w:szCs w:val="21"/>
              </w:rPr>
            </w:pPr>
            <w:r>
              <w:rPr>
                <w:rFonts w:hint="eastAsia" w:ascii="宋体" w:hAnsi="宋体"/>
                <w:szCs w:val="21"/>
              </w:rPr>
              <w:t>▲支持心率变异性、心室晚电位、心率减速力、心率震荡、T波电交替、心向量等高级功能；</w:t>
            </w:r>
            <w:r>
              <w:rPr>
                <w:rFonts w:hint="eastAsia"/>
                <w:szCs w:val="21"/>
              </w:rPr>
              <w:t>【提供软件界面截图证明材料】</w:t>
            </w:r>
          </w:p>
          <w:p w14:paraId="094E58C8">
            <w:pPr>
              <w:pStyle w:val="103"/>
              <w:numPr>
                <w:ilvl w:val="0"/>
                <w:numId w:val="7"/>
              </w:numPr>
              <w:spacing w:line="360" w:lineRule="auto"/>
              <w:ind w:firstLineChars="0"/>
              <w:rPr>
                <w:rFonts w:ascii="宋体" w:hAnsi="宋体"/>
                <w:szCs w:val="21"/>
              </w:rPr>
            </w:pPr>
            <w:r>
              <w:rPr>
                <w:rFonts w:hint="eastAsia" w:ascii="宋体" w:hAnsi="宋体"/>
                <w:szCs w:val="21"/>
              </w:rPr>
              <w:t>▲动态心电分析软件须独立取得医疗器械注册证。【提供相关注册证复印件证明】</w:t>
            </w:r>
          </w:p>
          <w:p w14:paraId="5F99125A">
            <w:pPr>
              <w:spacing w:line="360" w:lineRule="auto"/>
              <w:rPr>
                <w:rFonts w:ascii="宋体" w:hAnsi="宋体"/>
                <w:b/>
                <w:bCs/>
                <w:szCs w:val="21"/>
              </w:rPr>
            </w:pPr>
            <w:r>
              <w:rPr>
                <w:rFonts w:hint="eastAsia" w:ascii="宋体" w:hAnsi="宋体"/>
                <w:b/>
                <w:bCs/>
                <w:szCs w:val="21"/>
              </w:rPr>
              <w:t>动态血压分析：</w:t>
            </w:r>
          </w:p>
          <w:p w14:paraId="32C2F00A">
            <w:pPr>
              <w:pStyle w:val="103"/>
              <w:numPr>
                <w:ilvl w:val="0"/>
                <w:numId w:val="7"/>
              </w:numPr>
              <w:spacing w:line="360" w:lineRule="auto"/>
              <w:ind w:firstLineChars="0"/>
              <w:rPr>
                <w:rFonts w:ascii="宋体" w:hAnsi="宋体"/>
                <w:szCs w:val="21"/>
              </w:rPr>
            </w:pPr>
            <w:r>
              <w:rPr>
                <w:rFonts w:hint="eastAsia" w:ascii="宋体" w:hAnsi="宋体"/>
                <w:szCs w:val="21"/>
              </w:rPr>
              <w:t>提供血压脉搏波形图显示，辅助医生进行二次诊断；</w:t>
            </w:r>
          </w:p>
          <w:p w14:paraId="757AFB3D">
            <w:pPr>
              <w:pStyle w:val="103"/>
              <w:numPr>
                <w:ilvl w:val="0"/>
                <w:numId w:val="7"/>
              </w:numPr>
              <w:spacing w:line="360" w:lineRule="auto"/>
              <w:ind w:firstLineChars="0"/>
              <w:rPr>
                <w:rFonts w:ascii="宋体" w:hAnsi="宋体"/>
                <w:szCs w:val="21"/>
              </w:rPr>
            </w:pPr>
            <w:r>
              <w:rPr>
                <w:rFonts w:hint="eastAsia" w:ascii="宋体" w:hAnsi="宋体"/>
                <w:szCs w:val="21"/>
              </w:rPr>
              <w:t xml:space="preserve">提供多种图标辅助分析工具，包括趋势图、关联图、直方图、饼图、K线图等； </w:t>
            </w:r>
          </w:p>
          <w:p w14:paraId="7C7EDFE3">
            <w:pPr>
              <w:pStyle w:val="103"/>
              <w:numPr>
                <w:ilvl w:val="0"/>
                <w:numId w:val="7"/>
              </w:numPr>
              <w:spacing w:line="360" w:lineRule="auto"/>
              <w:ind w:firstLineChars="0"/>
              <w:rPr>
                <w:rFonts w:ascii="宋体" w:hAnsi="宋体"/>
                <w:szCs w:val="21"/>
              </w:rPr>
            </w:pPr>
            <w:r>
              <w:rPr>
                <w:rFonts w:hint="eastAsia" w:ascii="宋体" w:hAnsi="宋体"/>
                <w:szCs w:val="21"/>
              </w:rPr>
              <w:t>提供血压变异系数、夜间血压下降比、血压负荷、晨峰血压等分析指标；</w:t>
            </w:r>
          </w:p>
          <w:p w14:paraId="7195543D">
            <w:pPr>
              <w:pStyle w:val="103"/>
              <w:numPr>
                <w:ilvl w:val="0"/>
                <w:numId w:val="7"/>
              </w:numPr>
              <w:spacing w:line="360" w:lineRule="auto"/>
              <w:ind w:firstLineChars="0"/>
              <w:rPr>
                <w:rFonts w:ascii="宋体" w:hAnsi="宋体"/>
                <w:szCs w:val="21"/>
              </w:rPr>
            </w:pPr>
            <w:r>
              <w:rPr>
                <w:rFonts w:hint="eastAsia" w:ascii="宋体" w:hAnsi="宋体"/>
                <w:szCs w:val="21"/>
              </w:rPr>
              <w:t>提供血压负荷、昼夜节律、动态动脉硬化指数等自动分析结论；</w:t>
            </w:r>
          </w:p>
        </w:tc>
      </w:tr>
      <w:tr w14:paraId="049C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vAlign w:val="center"/>
          </w:tcPr>
          <w:p w14:paraId="730322AC">
            <w:pPr>
              <w:pStyle w:val="103"/>
              <w:ind w:firstLine="0" w:firstLineChars="0"/>
              <w:rPr>
                <w:b/>
                <w:bCs/>
                <w:szCs w:val="21"/>
              </w:rPr>
            </w:pPr>
            <w:r>
              <w:rPr>
                <w:rFonts w:hint="eastAsia"/>
                <w:b/>
                <w:bCs/>
                <w:szCs w:val="21"/>
              </w:rPr>
              <w:t>5</w:t>
            </w:r>
          </w:p>
        </w:tc>
        <w:tc>
          <w:tcPr>
            <w:tcW w:w="1260" w:type="dxa"/>
            <w:vAlign w:val="center"/>
          </w:tcPr>
          <w:p w14:paraId="488FA20F">
            <w:pPr>
              <w:jc w:val="center"/>
              <w:rPr>
                <w:b/>
                <w:bCs/>
                <w:szCs w:val="21"/>
              </w:rPr>
            </w:pPr>
            <w:r>
              <w:rPr>
                <w:rFonts w:hint="eastAsia"/>
                <w:b/>
                <w:bCs/>
                <w:szCs w:val="21"/>
              </w:rPr>
              <w:t>心电自动分析系统</w:t>
            </w:r>
          </w:p>
        </w:tc>
        <w:tc>
          <w:tcPr>
            <w:tcW w:w="6486" w:type="dxa"/>
          </w:tcPr>
          <w:p w14:paraId="2364B107">
            <w:pPr>
              <w:pStyle w:val="103"/>
              <w:numPr>
                <w:ilvl w:val="1"/>
                <w:numId w:val="7"/>
              </w:numPr>
              <w:spacing w:line="360" w:lineRule="auto"/>
              <w:ind w:firstLineChars="0"/>
              <w:rPr>
                <w:rFonts w:ascii="宋体" w:hAnsi="宋体"/>
                <w:szCs w:val="21"/>
              </w:rPr>
            </w:pPr>
            <w:r>
              <w:rPr>
                <w:rFonts w:hint="eastAsia" w:ascii="宋体" w:hAnsi="宋体"/>
                <w:szCs w:val="21"/>
              </w:rPr>
              <w:t>▲支持采集质量检测，在心电检查过程中实时提醒采集质量是否合格，伪差、导联脱落、左右手接反等实时提醒。【提供伪差、导联脱落、左右手接反实时提醒功能证明】</w:t>
            </w:r>
          </w:p>
          <w:p w14:paraId="429C44CB">
            <w:pPr>
              <w:pStyle w:val="103"/>
              <w:numPr>
                <w:ilvl w:val="1"/>
                <w:numId w:val="7"/>
              </w:numPr>
              <w:spacing w:line="360" w:lineRule="auto"/>
              <w:ind w:firstLineChars="0"/>
              <w:rPr>
                <w:rFonts w:ascii="宋体" w:hAnsi="宋体"/>
                <w:szCs w:val="21"/>
              </w:rPr>
            </w:pPr>
            <w:r>
              <w:rPr>
                <w:rFonts w:hint="eastAsia" w:ascii="宋体" w:hAnsi="宋体"/>
                <w:szCs w:val="21"/>
              </w:rPr>
              <w:t>采集完成后支持自动分析危急值，分析结果包括以下几种类型：危急、阳性、正常、采集不良、未分析。</w:t>
            </w:r>
          </w:p>
          <w:p w14:paraId="2FBE7522">
            <w:pPr>
              <w:pStyle w:val="103"/>
              <w:numPr>
                <w:ilvl w:val="1"/>
                <w:numId w:val="7"/>
              </w:numPr>
              <w:spacing w:line="360" w:lineRule="auto"/>
              <w:ind w:firstLineChars="0"/>
              <w:rPr>
                <w:rFonts w:ascii="宋体" w:hAnsi="宋体"/>
                <w:szCs w:val="21"/>
              </w:rPr>
            </w:pPr>
            <w:r>
              <w:rPr>
                <w:rFonts w:hint="eastAsia" w:ascii="宋体" w:hAnsi="宋体"/>
                <w:szCs w:val="21"/>
              </w:rPr>
              <w:t>可依据自动诊断结果提供危急值预警功能，通过微信等方式自动推送到相关人员手机上，提醒医护人员及时关注危急心电图。</w:t>
            </w:r>
          </w:p>
          <w:p w14:paraId="3F66012A">
            <w:pPr>
              <w:pStyle w:val="103"/>
              <w:numPr>
                <w:ilvl w:val="1"/>
                <w:numId w:val="7"/>
              </w:numPr>
              <w:spacing w:line="360" w:lineRule="auto"/>
              <w:ind w:firstLineChars="0"/>
              <w:rPr>
                <w:rFonts w:ascii="宋体" w:hAnsi="宋体"/>
                <w:szCs w:val="21"/>
              </w:rPr>
            </w:pPr>
            <w:r>
              <w:rPr>
                <w:rFonts w:hint="eastAsia" w:ascii="宋体" w:hAnsi="宋体"/>
                <w:szCs w:val="21"/>
              </w:rPr>
              <w:t>支持心电自动诊断技术，对心电报告进行自动化分析和诊断，辅助诊断医生进行报告诊断，提高诊断效率和质量。</w:t>
            </w:r>
          </w:p>
          <w:p w14:paraId="237DA791">
            <w:pPr>
              <w:pStyle w:val="103"/>
              <w:numPr>
                <w:ilvl w:val="1"/>
                <w:numId w:val="7"/>
              </w:numPr>
              <w:spacing w:line="360" w:lineRule="auto"/>
              <w:ind w:firstLineChars="0"/>
              <w:rPr>
                <w:rFonts w:ascii="宋体" w:hAnsi="宋体"/>
                <w:szCs w:val="21"/>
              </w:rPr>
            </w:pPr>
            <w:r>
              <w:rPr>
                <w:rFonts w:hint="eastAsia" w:ascii="宋体" w:hAnsi="宋体"/>
                <w:szCs w:val="21"/>
              </w:rPr>
              <w:t>支持漏诊提示，对心电图因显示分辨率问题导致的可能被疏忽的细节异常进行提示，防止造成漏诊。</w:t>
            </w:r>
          </w:p>
          <w:p w14:paraId="7A24920D">
            <w:pPr>
              <w:pStyle w:val="103"/>
              <w:numPr>
                <w:ilvl w:val="1"/>
                <w:numId w:val="7"/>
              </w:numPr>
              <w:spacing w:line="360" w:lineRule="auto"/>
              <w:ind w:firstLineChars="0"/>
              <w:rPr>
                <w:rFonts w:ascii="宋体" w:hAnsi="宋体"/>
                <w:szCs w:val="21"/>
              </w:rPr>
            </w:pPr>
            <w:r>
              <w:rPr>
                <w:rFonts w:hint="eastAsia" w:ascii="宋体" w:hAnsi="宋体"/>
                <w:szCs w:val="21"/>
              </w:rPr>
              <w:t>支持AI智能自动标记异常波形，自动诊断结论与图谱跟随，以提醒医生关注，避免漏诊。</w:t>
            </w:r>
          </w:p>
          <w:p w14:paraId="60981F73">
            <w:pPr>
              <w:pStyle w:val="103"/>
              <w:numPr>
                <w:ilvl w:val="1"/>
                <w:numId w:val="7"/>
              </w:numPr>
              <w:spacing w:line="360" w:lineRule="auto"/>
              <w:ind w:firstLineChars="0"/>
              <w:rPr>
                <w:rFonts w:ascii="宋体" w:hAnsi="宋体"/>
                <w:szCs w:val="21"/>
              </w:rPr>
            </w:pPr>
            <w:r>
              <w:rPr>
                <w:rFonts w:hint="eastAsia" w:ascii="宋体" w:hAnsi="宋体"/>
                <w:szCs w:val="21"/>
              </w:rPr>
              <w:t>▲动态心电具备自动分析功能。自动分析功能自动识别心搏类型包括正常（N）、房早（S）、室早（V）、房颤（Af）、起搏（P）和伪差（X）；用户可以手动标记和修改心搏。【需要提供经药监局注册检验的证明资料】</w:t>
            </w:r>
          </w:p>
          <w:p w14:paraId="6B95CB2F">
            <w:pPr>
              <w:pStyle w:val="103"/>
              <w:numPr>
                <w:ilvl w:val="1"/>
                <w:numId w:val="7"/>
              </w:numPr>
              <w:spacing w:line="360" w:lineRule="auto"/>
              <w:ind w:firstLineChars="0"/>
              <w:rPr>
                <w:rFonts w:ascii="宋体" w:hAnsi="宋体"/>
                <w:szCs w:val="21"/>
              </w:rPr>
            </w:pPr>
            <w:r>
              <w:rPr>
                <w:rFonts w:hint="eastAsia" w:ascii="宋体" w:hAnsi="宋体"/>
                <w:szCs w:val="21"/>
              </w:rPr>
              <w:t>支持</w:t>
            </w:r>
            <w:r>
              <w:rPr>
                <w:rFonts w:ascii="宋体" w:hAnsi="宋体"/>
                <w:szCs w:val="21"/>
              </w:rPr>
              <w:t>P</w:t>
            </w:r>
            <w:r>
              <w:rPr>
                <w:rFonts w:hint="eastAsia" w:ascii="宋体" w:hAnsi="宋体"/>
                <w:szCs w:val="21"/>
              </w:rPr>
              <w:t>波反混淆快速区分</w:t>
            </w:r>
            <w:r>
              <w:rPr>
                <w:rFonts w:ascii="宋体" w:hAnsi="宋体"/>
                <w:szCs w:val="21"/>
              </w:rPr>
              <w:t>P</w:t>
            </w:r>
            <w:r>
              <w:rPr>
                <w:rFonts w:hint="eastAsia" w:ascii="宋体" w:hAnsi="宋体"/>
                <w:szCs w:val="21"/>
              </w:rPr>
              <w:t>波形态差异心搏；</w:t>
            </w:r>
            <w:r>
              <w:rPr>
                <w:rFonts w:ascii="宋体" w:hAnsi="宋体"/>
                <w:szCs w:val="21"/>
              </w:rPr>
              <w:t xml:space="preserve"> </w:t>
            </w:r>
          </w:p>
          <w:p w14:paraId="55AEFA3D">
            <w:pPr>
              <w:pStyle w:val="103"/>
              <w:numPr>
                <w:ilvl w:val="1"/>
                <w:numId w:val="7"/>
              </w:numPr>
              <w:spacing w:line="360" w:lineRule="auto"/>
              <w:ind w:firstLineChars="0"/>
              <w:rPr>
                <w:rFonts w:ascii="宋体" w:hAnsi="宋体"/>
                <w:szCs w:val="21"/>
              </w:rPr>
            </w:pPr>
            <w:r>
              <w:rPr>
                <w:rFonts w:hint="eastAsia" w:ascii="宋体" w:hAnsi="宋体"/>
                <w:szCs w:val="21"/>
              </w:rPr>
              <w:t>▲支持房颤默认自动分析、全导联起搏检测功能；【提供经国家药品监督管理局直属检测单位签发的检测报告】</w:t>
            </w:r>
          </w:p>
        </w:tc>
      </w:tr>
      <w:tr w14:paraId="32A8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vAlign w:val="center"/>
          </w:tcPr>
          <w:p w14:paraId="638D9865">
            <w:pPr>
              <w:pStyle w:val="103"/>
              <w:ind w:firstLine="0" w:firstLineChars="0"/>
              <w:rPr>
                <w:b/>
                <w:bCs/>
                <w:szCs w:val="21"/>
              </w:rPr>
            </w:pPr>
            <w:r>
              <w:rPr>
                <w:rFonts w:hint="eastAsia"/>
                <w:b/>
                <w:bCs/>
                <w:szCs w:val="21"/>
              </w:rPr>
              <w:t>6</w:t>
            </w:r>
          </w:p>
        </w:tc>
        <w:tc>
          <w:tcPr>
            <w:tcW w:w="1260" w:type="dxa"/>
            <w:vAlign w:val="center"/>
          </w:tcPr>
          <w:p w14:paraId="539327DC">
            <w:pPr>
              <w:jc w:val="center"/>
              <w:rPr>
                <w:b/>
                <w:bCs/>
                <w:szCs w:val="21"/>
              </w:rPr>
            </w:pPr>
            <w:r>
              <w:rPr>
                <w:rFonts w:hint="eastAsia"/>
                <w:b/>
                <w:bCs/>
                <w:szCs w:val="21"/>
              </w:rPr>
              <w:t>移动会诊</w:t>
            </w:r>
          </w:p>
        </w:tc>
        <w:tc>
          <w:tcPr>
            <w:tcW w:w="6486" w:type="dxa"/>
          </w:tcPr>
          <w:p w14:paraId="4903B973">
            <w:pPr>
              <w:pStyle w:val="103"/>
              <w:numPr>
                <w:ilvl w:val="0"/>
                <w:numId w:val="7"/>
              </w:numPr>
              <w:spacing w:line="360" w:lineRule="auto"/>
              <w:ind w:firstLineChars="0"/>
              <w:rPr>
                <w:rFonts w:ascii="宋体" w:hAnsi="宋体"/>
                <w:vanish/>
                <w:szCs w:val="21"/>
              </w:rPr>
            </w:pPr>
          </w:p>
          <w:p w14:paraId="47C2ED2C">
            <w:pPr>
              <w:pStyle w:val="103"/>
              <w:numPr>
                <w:ilvl w:val="0"/>
                <w:numId w:val="7"/>
              </w:numPr>
              <w:spacing w:line="360" w:lineRule="auto"/>
              <w:ind w:firstLineChars="0"/>
              <w:rPr>
                <w:rFonts w:ascii="宋体" w:hAnsi="宋体"/>
                <w:vanish/>
                <w:szCs w:val="21"/>
              </w:rPr>
            </w:pPr>
          </w:p>
          <w:p w14:paraId="48FCE892">
            <w:pPr>
              <w:pStyle w:val="103"/>
              <w:numPr>
                <w:ilvl w:val="0"/>
                <w:numId w:val="7"/>
              </w:numPr>
              <w:spacing w:line="360" w:lineRule="auto"/>
              <w:ind w:firstLineChars="0"/>
              <w:rPr>
                <w:rFonts w:ascii="宋体" w:hAnsi="宋体"/>
                <w:vanish/>
                <w:szCs w:val="21"/>
              </w:rPr>
            </w:pPr>
          </w:p>
          <w:p w14:paraId="181C536A">
            <w:pPr>
              <w:pStyle w:val="103"/>
              <w:numPr>
                <w:ilvl w:val="0"/>
                <w:numId w:val="7"/>
              </w:numPr>
              <w:spacing w:line="360" w:lineRule="auto"/>
              <w:ind w:firstLineChars="0"/>
              <w:rPr>
                <w:rFonts w:ascii="宋体" w:hAnsi="宋体"/>
                <w:vanish/>
                <w:szCs w:val="21"/>
              </w:rPr>
            </w:pPr>
          </w:p>
          <w:p w14:paraId="346F030A">
            <w:pPr>
              <w:pStyle w:val="103"/>
              <w:numPr>
                <w:ilvl w:val="0"/>
                <w:numId w:val="7"/>
              </w:numPr>
              <w:spacing w:line="360" w:lineRule="auto"/>
              <w:ind w:firstLineChars="0"/>
              <w:rPr>
                <w:rFonts w:ascii="宋体" w:hAnsi="宋体"/>
                <w:vanish/>
                <w:szCs w:val="21"/>
              </w:rPr>
            </w:pPr>
          </w:p>
          <w:p w14:paraId="2E3029A2">
            <w:pPr>
              <w:pStyle w:val="103"/>
              <w:numPr>
                <w:ilvl w:val="0"/>
                <w:numId w:val="7"/>
              </w:numPr>
              <w:spacing w:line="360" w:lineRule="auto"/>
              <w:ind w:firstLineChars="0"/>
              <w:rPr>
                <w:rFonts w:ascii="宋体" w:hAnsi="宋体"/>
                <w:vanish/>
                <w:szCs w:val="21"/>
              </w:rPr>
            </w:pPr>
          </w:p>
          <w:p w14:paraId="5FF442D3">
            <w:pPr>
              <w:pStyle w:val="103"/>
              <w:numPr>
                <w:ilvl w:val="0"/>
                <w:numId w:val="7"/>
              </w:numPr>
              <w:spacing w:line="360" w:lineRule="auto"/>
              <w:ind w:firstLineChars="0"/>
              <w:rPr>
                <w:rFonts w:ascii="宋体" w:hAnsi="宋体"/>
                <w:vanish/>
                <w:szCs w:val="21"/>
              </w:rPr>
            </w:pPr>
          </w:p>
          <w:p w14:paraId="0B3E5B6E">
            <w:pPr>
              <w:pStyle w:val="103"/>
              <w:numPr>
                <w:ilvl w:val="0"/>
                <w:numId w:val="7"/>
              </w:numPr>
              <w:spacing w:line="360" w:lineRule="auto"/>
              <w:ind w:firstLineChars="0"/>
              <w:rPr>
                <w:rFonts w:ascii="宋体" w:hAnsi="宋体"/>
                <w:vanish/>
                <w:szCs w:val="21"/>
              </w:rPr>
            </w:pPr>
          </w:p>
          <w:p w14:paraId="6C26D2E3">
            <w:pPr>
              <w:pStyle w:val="103"/>
              <w:numPr>
                <w:ilvl w:val="0"/>
                <w:numId w:val="7"/>
              </w:numPr>
              <w:spacing w:line="360" w:lineRule="auto"/>
              <w:ind w:firstLineChars="0"/>
              <w:rPr>
                <w:rFonts w:ascii="宋体" w:hAnsi="宋体"/>
                <w:vanish/>
                <w:szCs w:val="21"/>
              </w:rPr>
            </w:pPr>
          </w:p>
          <w:p w14:paraId="1BA0FFBB">
            <w:pPr>
              <w:pStyle w:val="103"/>
              <w:numPr>
                <w:ilvl w:val="0"/>
                <w:numId w:val="7"/>
              </w:numPr>
              <w:spacing w:line="360" w:lineRule="auto"/>
              <w:ind w:firstLineChars="0"/>
              <w:rPr>
                <w:rFonts w:ascii="宋体" w:hAnsi="宋体"/>
                <w:szCs w:val="21"/>
              </w:rPr>
            </w:pPr>
            <w:r>
              <w:rPr>
                <w:rFonts w:hint="eastAsia" w:ascii="宋体" w:hAnsi="宋体"/>
                <w:szCs w:val="21"/>
              </w:rPr>
              <w:t>移动会诊支持手机端</w:t>
            </w:r>
            <w:r>
              <w:rPr>
                <w:rFonts w:ascii="宋体" w:hAnsi="宋体"/>
                <w:szCs w:val="21"/>
              </w:rPr>
              <w:t>H5</w:t>
            </w:r>
            <w:r>
              <w:rPr>
                <w:rFonts w:hint="eastAsia" w:ascii="宋体" w:hAnsi="宋体"/>
                <w:szCs w:val="21"/>
              </w:rPr>
              <w:t>的方式实现原始心电图数据的查看，支持Android和iOS系统等各种品牌终端，满足出差、居家等不同场景下的远程会诊需求。</w:t>
            </w:r>
          </w:p>
          <w:p w14:paraId="61E99E82">
            <w:pPr>
              <w:pStyle w:val="103"/>
              <w:numPr>
                <w:ilvl w:val="0"/>
                <w:numId w:val="7"/>
              </w:numPr>
              <w:spacing w:line="360" w:lineRule="auto"/>
              <w:ind w:firstLineChars="0"/>
              <w:rPr>
                <w:rFonts w:ascii="宋体" w:hAnsi="宋体"/>
                <w:szCs w:val="21"/>
              </w:rPr>
            </w:pPr>
            <w:r>
              <w:rPr>
                <w:rFonts w:hint="eastAsia" w:ascii="宋体" w:hAnsi="宋体"/>
                <w:szCs w:val="21"/>
              </w:rPr>
              <w:t>支持手机端报告任务列表刷新功能，可实时查看待处理报告的数量。支持报告编辑功能，</w:t>
            </w:r>
            <w:r>
              <w:rPr>
                <w:rFonts w:hint="eastAsia"/>
              </w:rPr>
              <w:t>提供标准的心电图诊断词条选择或者手动输入诊断词条</w:t>
            </w:r>
            <w:r>
              <w:rPr>
                <w:rFonts w:hint="eastAsia" w:ascii="宋体" w:hAnsi="宋体"/>
                <w:szCs w:val="21"/>
              </w:rPr>
              <w:t>，辅助医生快速的进行报告编辑。</w:t>
            </w:r>
          </w:p>
          <w:p w14:paraId="45945AD6">
            <w:pPr>
              <w:pStyle w:val="103"/>
              <w:numPr>
                <w:ilvl w:val="0"/>
                <w:numId w:val="7"/>
              </w:numPr>
              <w:spacing w:line="360" w:lineRule="auto"/>
              <w:ind w:firstLineChars="0"/>
              <w:rPr>
                <w:rFonts w:ascii="宋体" w:hAnsi="宋体"/>
                <w:szCs w:val="21"/>
              </w:rPr>
            </w:pPr>
            <w:r>
              <w:rPr>
                <w:rFonts w:hint="eastAsia" w:ascii="宋体" w:hAnsi="宋体"/>
                <w:szCs w:val="21"/>
              </w:rPr>
              <w:t>支持手机端浏览器访问登录功能；支持记录最近一次登录用户。</w:t>
            </w:r>
          </w:p>
          <w:p w14:paraId="6C8110DA">
            <w:pPr>
              <w:pStyle w:val="103"/>
              <w:numPr>
                <w:ilvl w:val="0"/>
                <w:numId w:val="7"/>
              </w:numPr>
              <w:spacing w:line="360" w:lineRule="auto"/>
              <w:ind w:firstLineChars="0"/>
              <w:rPr>
                <w:rFonts w:ascii="宋体" w:hAnsi="宋体"/>
                <w:szCs w:val="21"/>
              </w:rPr>
            </w:pPr>
            <w:r>
              <w:rPr>
                <w:rFonts w:hint="eastAsia" w:ascii="宋体" w:hAnsi="宋体" w:cs="宋体"/>
                <w:kern w:val="0"/>
                <w:szCs w:val="21"/>
              </w:rPr>
              <w:t>支持i</w:t>
            </w:r>
            <w:r>
              <w:rPr>
                <w:rFonts w:ascii="宋体" w:hAnsi="宋体" w:cs="宋体"/>
                <w:kern w:val="0"/>
                <w:szCs w:val="21"/>
              </w:rPr>
              <w:t>P</w:t>
            </w:r>
            <w:r>
              <w:rPr>
                <w:rFonts w:hint="eastAsia" w:ascii="宋体" w:hAnsi="宋体" w:cs="宋体"/>
                <w:kern w:val="0"/>
                <w:szCs w:val="21"/>
              </w:rPr>
              <w:t>ad端诊断，方便医生值班时使用。支持报告列表功能、支持</w:t>
            </w:r>
            <w:r>
              <w:rPr>
                <w:rFonts w:ascii="宋体" w:hAnsi="宋体" w:cs="宋体"/>
                <w:kern w:val="0"/>
                <w:szCs w:val="21"/>
              </w:rPr>
              <w:t>多份心电图切换功能</w:t>
            </w:r>
            <w:r>
              <w:rPr>
                <w:rFonts w:hint="eastAsia" w:ascii="宋体" w:hAnsi="宋体" w:cs="宋体"/>
                <w:kern w:val="0"/>
                <w:szCs w:val="21"/>
              </w:rPr>
              <w:t>、支持报告编辑功能；支持通过扫描二维码的方式连接服务器地址，免去繁杂的网址输入过程，防止服务器地址外泄，提高系统安全性。</w:t>
            </w:r>
          </w:p>
          <w:p w14:paraId="4840CDB6">
            <w:pPr>
              <w:pStyle w:val="103"/>
              <w:numPr>
                <w:ilvl w:val="0"/>
                <w:numId w:val="7"/>
              </w:numPr>
              <w:spacing w:line="360" w:lineRule="auto"/>
              <w:ind w:firstLineChars="0"/>
              <w:rPr>
                <w:rFonts w:ascii="宋体" w:hAnsi="宋体"/>
                <w:szCs w:val="21"/>
              </w:rPr>
            </w:pPr>
            <w:r>
              <w:rPr>
                <w:rFonts w:hint="eastAsia" w:ascii="宋体" w:hAnsi="宋体"/>
                <w:szCs w:val="21"/>
              </w:rPr>
              <w:t xml:space="preserve">系统支持将心电数据通过网络分享到微信群或者专家的微信，寻求技术指导或典型数据分享。会诊专家可在微信端查看原始心电数据，支持走速、增益的调整，支持导联布局的切换，支持心电波形的滤波。 </w:t>
            </w:r>
          </w:p>
        </w:tc>
      </w:tr>
      <w:tr w14:paraId="7996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vAlign w:val="center"/>
          </w:tcPr>
          <w:p w14:paraId="77E6C323">
            <w:pPr>
              <w:pStyle w:val="103"/>
              <w:ind w:firstLine="0" w:firstLineChars="0"/>
              <w:rPr>
                <w:b/>
                <w:bCs/>
                <w:szCs w:val="21"/>
              </w:rPr>
            </w:pPr>
            <w:r>
              <w:rPr>
                <w:rFonts w:hint="eastAsia"/>
                <w:b/>
                <w:bCs/>
                <w:szCs w:val="21"/>
              </w:rPr>
              <w:t>7</w:t>
            </w:r>
          </w:p>
        </w:tc>
        <w:tc>
          <w:tcPr>
            <w:tcW w:w="1260" w:type="dxa"/>
            <w:vAlign w:val="center"/>
          </w:tcPr>
          <w:p w14:paraId="3792DE66">
            <w:pPr>
              <w:jc w:val="center"/>
              <w:rPr>
                <w:b/>
                <w:bCs/>
                <w:szCs w:val="21"/>
              </w:rPr>
            </w:pPr>
            <w:r>
              <w:rPr>
                <w:rFonts w:hint="eastAsia"/>
                <w:b/>
                <w:bCs/>
                <w:szCs w:val="21"/>
              </w:rPr>
              <w:t>临床web端调阅</w:t>
            </w:r>
          </w:p>
        </w:tc>
        <w:tc>
          <w:tcPr>
            <w:tcW w:w="6486" w:type="dxa"/>
          </w:tcPr>
          <w:p w14:paraId="16E8F89A">
            <w:pPr>
              <w:pStyle w:val="103"/>
              <w:numPr>
                <w:ilvl w:val="0"/>
                <w:numId w:val="7"/>
              </w:numPr>
              <w:spacing w:line="360" w:lineRule="auto"/>
              <w:ind w:firstLineChars="0"/>
              <w:rPr>
                <w:rFonts w:ascii="宋体" w:hAnsi="宋体"/>
                <w:szCs w:val="21"/>
              </w:rPr>
            </w:pPr>
            <w:r>
              <w:rPr>
                <w:rFonts w:hint="eastAsia" w:ascii="宋体" w:hAnsi="宋体"/>
                <w:szCs w:val="21"/>
              </w:rPr>
              <w:t>支持在</w:t>
            </w:r>
            <w:r>
              <w:rPr>
                <w:rFonts w:ascii="宋体" w:hAnsi="宋体"/>
                <w:szCs w:val="21"/>
              </w:rPr>
              <w:t>Web端</w:t>
            </w:r>
            <w:r>
              <w:rPr>
                <w:rFonts w:hint="eastAsia" w:ascii="宋体" w:hAnsi="宋体"/>
                <w:szCs w:val="21"/>
              </w:rPr>
              <w:t>查看、</w:t>
            </w:r>
            <w:r>
              <w:rPr>
                <w:rFonts w:ascii="宋体" w:hAnsi="宋体"/>
                <w:szCs w:val="21"/>
              </w:rPr>
              <w:t>诊断、发布</w:t>
            </w:r>
            <w:r>
              <w:rPr>
                <w:rFonts w:hint="eastAsia" w:ascii="宋体" w:hAnsi="宋体"/>
                <w:szCs w:val="21"/>
              </w:rPr>
              <w:t>心电图报告。满足不同场景的业务需求。</w:t>
            </w:r>
          </w:p>
          <w:p w14:paraId="24FC23E7">
            <w:pPr>
              <w:pStyle w:val="103"/>
              <w:numPr>
                <w:ilvl w:val="0"/>
                <w:numId w:val="7"/>
              </w:numPr>
              <w:spacing w:line="360" w:lineRule="auto"/>
              <w:ind w:firstLineChars="0"/>
              <w:rPr>
                <w:rFonts w:ascii="宋体" w:hAnsi="宋体"/>
                <w:szCs w:val="21"/>
              </w:rPr>
            </w:pPr>
            <w:r>
              <w:rPr>
                <w:rFonts w:hint="eastAsia" w:ascii="宋体" w:hAnsi="宋体"/>
                <w:szCs w:val="21"/>
              </w:rPr>
              <w:t>支持根据报告完成状态待诊断、已诊断查看报告，并且直观看出待诊断的报告数量。</w:t>
            </w:r>
          </w:p>
          <w:p w14:paraId="438E812B">
            <w:pPr>
              <w:pStyle w:val="103"/>
              <w:numPr>
                <w:ilvl w:val="0"/>
                <w:numId w:val="7"/>
              </w:numPr>
              <w:spacing w:line="360" w:lineRule="auto"/>
              <w:ind w:firstLineChars="0"/>
              <w:rPr>
                <w:rFonts w:ascii="宋体" w:hAnsi="宋体"/>
                <w:szCs w:val="21"/>
              </w:rPr>
            </w:pPr>
            <w:r>
              <w:rPr>
                <w:rFonts w:hint="eastAsia" w:ascii="宋体" w:hAnsi="宋体"/>
                <w:szCs w:val="21"/>
              </w:rPr>
              <w:t>支持通过检查科室、受检者来源、检查时间、受检者标识、受检者姓名快速检索报告。</w:t>
            </w:r>
          </w:p>
          <w:p w14:paraId="224B9C87">
            <w:pPr>
              <w:pStyle w:val="103"/>
              <w:numPr>
                <w:ilvl w:val="0"/>
                <w:numId w:val="7"/>
              </w:numPr>
              <w:spacing w:line="360" w:lineRule="auto"/>
              <w:ind w:firstLineChars="0"/>
              <w:rPr>
                <w:rFonts w:ascii="宋体" w:hAnsi="宋体"/>
                <w:szCs w:val="21"/>
              </w:rPr>
            </w:pPr>
            <w:r>
              <w:rPr>
                <w:rFonts w:hint="eastAsia" w:ascii="宋体" w:hAnsi="宋体"/>
                <w:szCs w:val="21"/>
              </w:rPr>
              <w:t>支持产生新报告到达即时提醒功能。当检查端采集的病历发送过来时，web端自动弹出提示窗口并语音提醒，提示医生有新报告到达。</w:t>
            </w:r>
          </w:p>
          <w:p w14:paraId="4FE07088">
            <w:pPr>
              <w:pStyle w:val="103"/>
              <w:numPr>
                <w:ilvl w:val="0"/>
                <w:numId w:val="7"/>
              </w:numPr>
              <w:spacing w:line="360" w:lineRule="auto"/>
              <w:ind w:firstLineChars="0"/>
              <w:rPr>
                <w:rFonts w:ascii="宋体" w:hAnsi="宋体"/>
                <w:szCs w:val="21"/>
              </w:rPr>
            </w:pPr>
            <w:r>
              <w:rPr>
                <w:rFonts w:ascii="宋体" w:hAnsi="宋体"/>
                <w:szCs w:val="21"/>
              </w:rPr>
              <w:t>Web终端可查看原始数据，支持调整导联布局、增益、走速及；支持心电波形的滤波，包括肌电滤波、工频滤波、高频滤波；提供标准的心电图诊断</w:t>
            </w:r>
            <w:r>
              <w:rPr>
                <w:rFonts w:hint="eastAsia" w:ascii="宋体" w:hAnsi="宋体"/>
                <w:szCs w:val="21"/>
              </w:rPr>
              <w:t>词条选择或者手动输入</w:t>
            </w:r>
            <w:r>
              <w:rPr>
                <w:rFonts w:ascii="宋体" w:hAnsi="宋体"/>
                <w:szCs w:val="21"/>
              </w:rPr>
              <w:t>；支持修改受检者部分信息；支持全院数据共享。</w:t>
            </w:r>
          </w:p>
        </w:tc>
      </w:tr>
      <w:tr w14:paraId="7269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vAlign w:val="center"/>
          </w:tcPr>
          <w:p w14:paraId="243B08C2">
            <w:pPr>
              <w:pStyle w:val="103"/>
              <w:ind w:firstLine="0" w:firstLineChars="0"/>
              <w:rPr>
                <w:b/>
                <w:bCs/>
                <w:szCs w:val="21"/>
              </w:rPr>
            </w:pPr>
            <w:r>
              <w:rPr>
                <w:rFonts w:hint="eastAsia"/>
                <w:b/>
                <w:bCs/>
                <w:szCs w:val="21"/>
              </w:rPr>
              <w:t>8</w:t>
            </w:r>
          </w:p>
        </w:tc>
        <w:tc>
          <w:tcPr>
            <w:tcW w:w="1260" w:type="dxa"/>
            <w:vAlign w:val="center"/>
          </w:tcPr>
          <w:p w14:paraId="21C9760C">
            <w:pPr>
              <w:jc w:val="center"/>
              <w:rPr>
                <w:b/>
                <w:bCs/>
                <w:szCs w:val="21"/>
              </w:rPr>
            </w:pPr>
            <w:r>
              <w:rPr>
                <w:rFonts w:hint="eastAsia"/>
                <w:b/>
                <w:bCs/>
                <w:szCs w:val="21"/>
              </w:rPr>
              <w:t>质控管理系统</w:t>
            </w:r>
          </w:p>
        </w:tc>
        <w:tc>
          <w:tcPr>
            <w:tcW w:w="6486" w:type="dxa"/>
          </w:tcPr>
          <w:p w14:paraId="4EF5835B">
            <w:pPr>
              <w:pStyle w:val="103"/>
              <w:widowControl/>
              <w:numPr>
                <w:ilvl w:val="0"/>
                <w:numId w:val="7"/>
              </w:numPr>
              <w:adjustRightInd w:val="0"/>
              <w:snapToGrid w:val="0"/>
              <w:spacing w:line="360" w:lineRule="auto"/>
              <w:ind w:firstLineChars="0"/>
              <w:rPr>
                <w:rFonts w:asciiTheme="minorEastAsia" w:hAnsiTheme="minorEastAsia"/>
                <w:szCs w:val="21"/>
              </w:rPr>
            </w:pPr>
            <w:r>
              <w:rPr>
                <w:rFonts w:hint="eastAsia" w:asciiTheme="minorEastAsia" w:hAnsiTheme="minorEastAsia"/>
              </w:rPr>
              <w:t>要求系统具有</w:t>
            </w:r>
            <w:r>
              <w:rPr>
                <w:rFonts w:hint="eastAsia" w:asciiTheme="minorEastAsia" w:hAnsiTheme="minorEastAsia"/>
                <w:szCs w:val="21"/>
              </w:rPr>
              <w:t>完整的报告质控流程，定期对报告质量进行回顾，支持根据病种、诊断医生、AI质控等多个维度对报告进行质控，支持抽取一定数量的报告按照时间定期开展质控工作。</w:t>
            </w:r>
          </w:p>
          <w:p w14:paraId="34429D39">
            <w:pPr>
              <w:pStyle w:val="103"/>
              <w:widowControl/>
              <w:numPr>
                <w:ilvl w:val="0"/>
                <w:numId w:val="7"/>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具备图像质控、报告质控、时效质控功能。</w:t>
            </w:r>
          </w:p>
          <w:p w14:paraId="7893C3D4">
            <w:pPr>
              <w:pStyle w:val="103"/>
              <w:widowControl/>
              <w:numPr>
                <w:ilvl w:val="0"/>
                <w:numId w:val="7"/>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支持质控专家对有问题的报告进行标注，按照不合格报告的定义，支持在诊断质控界面界定报告不合格的原因，支持手动书写质控意见和原因备注。</w:t>
            </w:r>
          </w:p>
          <w:p w14:paraId="2C526635">
            <w:pPr>
              <w:pStyle w:val="103"/>
              <w:widowControl/>
              <w:numPr>
                <w:ilvl w:val="0"/>
                <w:numId w:val="7"/>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质控完成后支持生成质控报告。</w:t>
            </w:r>
          </w:p>
          <w:p w14:paraId="5668EC2E">
            <w:pPr>
              <w:pStyle w:val="103"/>
              <w:widowControl/>
              <w:adjustRightInd w:val="0"/>
              <w:snapToGrid w:val="0"/>
              <w:spacing w:line="360" w:lineRule="auto"/>
              <w:ind w:firstLine="0" w:firstLineChars="0"/>
              <w:rPr>
                <w:rFonts w:asciiTheme="minorEastAsia" w:hAnsiTheme="minorEastAsia"/>
                <w:szCs w:val="21"/>
              </w:rPr>
            </w:pPr>
            <w:r>
              <w:rPr>
                <w:rFonts w:hint="eastAsia" w:asciiTheme="minorEastAsia" w:hAnsiTheme="minorEastAsia"/>
                <w:szCs w:val="21"/>
              </w:rPr>
              <w:t>具备报告全生命周期管理功能，支持心电数据的采集、传输、诊断和数据归档的全流程跟踪管理，记录每一份心电报告的生成过程，为业务质控、问题排查、问题定位等提供技术支撑和可靠保障。</w:t>
            </w:r>
          </w:p>
        </w:tc>
      </w:tr>
      <w:tr w14:paraId="4A94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vAlign w:val="center"/>
          </w:tcPr>
          <w:p w14:paraId="4D419E14">
            <w:pPr>
              <w:pStyle w:val="103"/>
              <w:ind w:firstLine="0" w:firstLineChars="0"/>
              <w:rPr>
                <w:b/>
                <w:bCs/>
                <w:szCs w:val="21"/>
              </w:rPr>
            </w:pPr>
            <w:r>
              <w:rPr>
                <w:rFonts w:hint="eastAsia"/>
                <w:b/>
                <w:bCs/>
                <w:szCs w:val="21"/>
              </w:rPr>
              <w:t>10</w:t>
            </w:r>
          </w:p>
        </w:tc>
        <w:tc>
          <w:tcPr>
            <w:tcW w:w="1260" w:type="dxa"/>
            <w:vAlign w:val="center"/>
          </w:tcPr>
          <w:p w14:paraId="75CE7389">
            <w:pPr>
              <w:jc w:val="center"/>
              <w:rPr>
                <w:b/>
                <w:bCs/>
                <w:szCs w:val="21"/>
              </w:rPr>
            </w:pPr>
            <w:r>
              <w:rPr>
                <w:rFonts w:hint="eastAsia"/>
                <w:b/>
                <w:bCs/>
                <w:szCs w:val="21"/>
              </w:rPr>
              <w:t>集成平台接入</w:t>
            </w:r>
          </w:p>
        </w:tc>
        <w:tc>
          <w:tcPr>
            <w:tcW w:w="6486" w:type="dxa"/>
          </w:tcPr>
          <w:p w14:paraId="07E98AFF">
            <w:pPr>
              <w:pStyle w:val="103"/>
              <w:numPr>
                <w:ilvl w:val="0"/>
                <w:numId w:val="7"/>
              </w:numPr>
              <w:spacing w:line="360" w:lineRule="auto"/>
              <w:ind w:firstLineChars="0"/>
              <w:rPr>
                <w:rFonts w:ascii="宋体" w:hAnsi="宋体"/>
                <w:szCs w:val="21"/>
              </w:rPr>
            </w:pPr>
            <w:r>
              <w:rPr>
                <w:rFonts w:hint="eastAsia" w:ascii="宋体" w:hAnsi="宋体"/>
              </w:rPr>
              <w:t>支持医院与第三方信息系统</w:t>
            </w:r>
            <w:r>
              <w:rPr>
                <w:rFonts w:ascii="宋体" w:hAnsi="宋体"/>
              </w:rPr>
              <w:t>(HIS</w:t>
            </w:r>
            <w:r>
              <w:rPr>
                <w:rFonts w:hint="eastAsia" w:ascii="宋体" w:hAnsi="宋体"/>
              </w:rPr>
              <w:t>、</w:t>
            </w:r>
            <w:r>
              <w:rPr>
                <w:rFonts w:ascii="宋体" w:hAnsi="宋体"/>
              </w:rPr>
              <w:t>PACS</w:t>
            </w:r>
            <w:r>
              <w:rPr>
                <w:rFonts w:hint="eastAsia" w:ascii="宋体" w:hAnsi="宋体"/>
              </w:rPr>
              <w:t>、集成平台等</w:t>
            </w:r>
            <w:r>
              <w:rPr>
                <w:rFonts w:ascii="宋体" w:hAnsi="宋体"/>
              </w:rPr>
              <w:t>)</w:t>
            </w:r>
            <w:r>
              <w:rPr>
                <w:rFonts w:hint="eastAsia" w:ascii="宋体" w:hAnsi="宋体"/>
              </w:rPr>
              <w:t>心电图相关的信息</w:t>
            </w:r>
            <w:r>
              <w:rPr>
                <w:rFonts w:ascii="宋体" w:hAnsi="宋体"/>
              </w:rPr>
              <w:t>(</w:t>
            </w:r>
            <w:r>
              <w:rPr>
                <w:rFonts w:hint="eastAsia" w:ascii="宋体" w:hAnsi="宋体"/>
              </w:rPr>
              <w:t>检查申请单、检查状态回写、报告状态回写、结论回写</w:t>
            </w:r>
            <w:r>
              <w:rPr>
                <w:rFonts w:ascii="宋体" w:hAnsi="宋体"/>
              </w:rPr>
              <w:t>)</w:t>
            </w:r>
            <w:r>
              <w:rPr>
                <w:rFonts w:hint="eastAsia" w:ascii="宋体" w:hAnsi="宋体"/>
              </w:rPr>
              <w:t>交互。</w:t>
            </w:r>
          </w:p>
          <w:p w14:paraId="5CF17968">
            <w:pPr>
              <w:pStyle w:val="103"/>
              <w:numPr>
                <w:ilvl w:val="0"/>
                <w:numId w:val="7"/>
              </w:numPr>
              <w:spacing w:line="360" w:lineRule="auto"/>
              <w:ind w:firstLineChars="0"/>
              <w:rPr>
                <w:rFonts w:ascii="宋体" w:hAnsi="宋体"/>
                <w:szCs w:val="21"/>
              </w:rPr>
            </w:pPr>
            <w:r>
              <w:rPr>
                <w:rFonts w:hint="eastAsia" w:ascii="宋体" w:hAnsi="宋体"/>
                <w:szCs w:val="21"/>
              </w:rPr>
              <w:t>支持第三方系统调阅心电图报告，可浏览并打印心电图报告。</w:t>
            </w:r>
          </w:p>
        </w:tc>
      </w:tr>
    </w:tbl>
    <w:p w14:paraId="7D57CDF3">
      <w:pPr>
        <w:pStyle w:val="2"/>
      </w:pPr>
    </w:p>
    <w:p w14:paraId="053511F6">
      <w:pPr>
        <w:pStyle w:val="2"/>
      </w:pPr>
    </w:p>
    <w:p w14:paraId="1861EA8F">
      <w:pPr>
        <w:pStyle w:val="2"/>
      </w:pPr>
    </w:p>
    <w:p w14:paraId="3BA363F6">
      <w:pPr>
        <w:pStyle w:val="2"/>
      </w:pPr>
    </w:p>
    <w:p w14:paraId="51F570DC">
      <w:pPr>
        <w:pStyle w:val="2"/>
      </w:pPr>
    </w:p>
    <w:p w14:paraId="4725A400">
      <w:pPr>
        <w:pStyle w:val="2"/>
      </w:pPr>
    </w:p>
    <w:p w14:paraId="2CAE3A5B">
      <w:pPr>
        <w:pStyle w:val="2"/>
      </w:pPr>
    </w:p>
    <w:p w14:paraId="62EEADAA">
      <w:pPr>
        <w:pStyle w:val="2"/>
      </w:pPr>
    </w:p>
    <w:p w14:paraId="24AC1EFA">
      <w:pPr>
        <w:spacing w:line="360" w:lineRule="auto"/>
        <w:jc w:val="left"/>
        <w:rPr>
          <w:rFonts w:ascii="宋体" w:hAnsi="宋体" w:cs="宋体"/>
          <w:b/>
          <w:sz w:val="24"/>
          <w:szCs w:val="24"/>
        </w:rPr>
      </w:pPr>
      <w:r>
        <w:rPr>
          <w:rFonts w:hint="eastAsia" w:ascii="宋体" w:hAnsi="宋体" w:cs="宋体"/>
          <w:b/>
          <w:sz w:val="24"/>
          <w:szCs w:val="24"/>
        </w:rPr>
        <w:t>六</w:t>
      </w:r>
      <w:r>
        <w:rPr>
          <w:rFonts w:ascii="宋体" w:hAnsi="宋体" w:cs="宋体"/>
          <w:b/>
          <w:sz w:val="24"/>
          <w:szCs w:val="24"/>
        </w:rPr>
        <w:t>、</w:t>
      </w:r>
      <w:r>
        <w:rPr>
          <w:rFonts w:hint="eastAsia" w:ascii="宋体" w:hAnsi="宋体" w:cs="宋体"/>
          <w:b/>
          <w:sz w:val="24"/>
          <w:szCs w:val="24"/>
        </w:rPr>
        <w:t>服务要求</w:t>
      </w:r>
    </w:p>
    <w:p w14:paraId="7CE5C9A8">
      <w:pPr>
        <w:spacing w:line="360" w:lineRule="auto"/>
        <w:ind w:firstLine="480" w:firstLineChars="200"/>
        <w:jc w:val="left"/>
        <w:rPr>
          <w:rFonts w:ascii="宋体" w:hAnsi="宋体" w:cs="宋体"/>
          <w:sz w:val="24"/>
          <w:szCs w:val="24"/>
        </w:rPr>
      </w:pPr>
      <w:r>
        <w:rPr>
          <w:rFonts w:hint="eastAsia" w:ascii="宋体" w:hAnsi="宋体" w:cs="宋体"/>
          <w:sz w:val="24"/>
          <w:szCs w:val="24"/>
        </w:rPr>
        <w:t>结合医院信息化建设的实际情况，拟定详细的系统实施计划。承诺保证在合同规定时间内上线及上线系统的平稳运行。</w:t>
      </w:r>
    </w:p>
    <w:p w14:paraId="7FFDCDE0">
      <w:pPr>
        <w:spacing w:line="360" w:lineRule="auto"/>
        <w:ind w:firstLine="480" w:firstLineChars="200"/>
        <w:jc w:val="left"/>
        <w:rPr>
          <w:rFonts w:ascii="宋体" w:hAnsi="宋体" w:cs="宋体"/>
          <w:sz w:val="24"/>
          <w:szCs w:val="24"/>
        </w:rPr>
      </w:pPr>
      <w:r>
        <w:rPr>
          <w:rFonts w:hint="eastAsia" w:ascii="宋体" w:hAnsi="宋体" w:cs="宋体"/>
          <w:sz w:val="24"/>
          <w:szCs w:val="24"/>
        </w:rPr>
        <w:t>实施团队：实施团队由原厂工程师组成。项目组成人员不少于</w:t>
      </w:r>
      <w:r>
        <w:rPr>
          <w:rFonts w:ascii="宋体" w:hAnsi="宋体" w:cs="宋体"/>
          <w:sz w:val="24"/>
          <w:szCs w:val="24"/>
        </w:rPr>
        <w:t>1</w:t>
      </w:r>
      <w:r>
        <w:rPr>
          <w:rFonts w:hint="eastAsia" w:ascii="宋体" w:hAnsi="宋体" w:cs="宋体"/>
          <w:sz w:val="24"/>
          <w:szCs w:val="24"/>
        </w:rPr>
        <w:t>人（项目实施过程中项目经理必须驻场, 项目经理担任过三级医院的同类项目经理，</w:t>
      </w:r>
      <w:r>
        <w:rPr>
          <w:rFonts w:ascii="宋体" w:hAnsi="宋体" w:cs="宋体"/>
          <w:sz w:val="24"/>
          <w:szCs w:val="24"/>
        </w:rPr>
        <w:t>且有</w:t>
      </w:r>
      <w:r>
        <w:rPr>
          <w:rFonts w:hint="eastAsia" w:ascii="宋体" w:hAnsi="宋体" w:cs="宋体"/>
          <w:sz w:val="24"/>
          <w:szCs w:val="24"/>
        </w:rPr>
        <w:t>互联互通四甲、电子病历五级评审通过</w:t>
      </w:r>
      <w:r>
        <w:rPr>
          <w:rFonts w:ascii="宋体" w:hAnsi="宋体" w:cs="宋体"/>
          <w:sz w:val="24"/>
          <w:szCs w:val="24"/>
        </w:rPr>
        <w:t>经验</w:t>
      </w:r>
      <w:r>
        <w:rPr>
          <w:rFonts w:hint="eastAsia" w:ascii="宋体" w:hAnsi="宋体" w:cs="宋体"/>
          <w:sz w:val="24"/>
          <w:szCs w:val="24"/>
        </w:rPr>
        <w:t>）,实施团队人员的调整必须经过如东县中医院的书面同意，其中关键人员不得调整。</w:t>
      </w:r>
    </w:p>
    <w:p w14:paraId="64E4BA6D">
      <w:pPr>
        <w:spacing w:line="360" w:lineRule="auto"/>
        <w:ind w:firstLine="480" w:firstLineChars="200"/>
        <w:jc w:val="left"/>
        <w:rPr>
          <w:rFonts w:ascii="宋体" w:hAnsi="宋体" w:cs="宋体"/>
          <w:sz w:val="24"/>
          <w:szCs w:val="24"/>
        </w:rPr>
      </w:pPr>
      <w:r>
        <w:rPr>
          <w:rFonts w:hint="eastAsia" w:ascii="宋体" w:hAnsi="宋体" w:cs="宋体"/>
          <w:sz w:val="24"/>
          <w:szCs w:val="24"/>
        </w:rPr>
        <w:t>合同签订后十日内由公司项目经理上门进行前期准备，包括用户培训、需求调研、数据准备等。</w:t>
      </w:r>
    </w:p>
    <w:p w14:paraId="16242CB8">
      <w:pPr>
        <w:spacing w:line="360" w:lineRule="auto"/>
        <w:ind w:firstLine="480" w:firstLineChars="200"/>
        <w:jc w:val="left"/>
        <w:rPr>
          <w:rFonts w:ascii="宋体" w:hAnsi="宋体" w:cs="宋体"/>
          <w:sz w:val="24"/>
          <w:szCs w:val="24"/>
        </w:rPr>
      </w:pPr>
      <w:r>
        <w:rPr>
          <w:rFonts w:hint="eastAsia" w:ascii="宋体" w:hAnsi="宋体" w:cs="宋体"/>
          <w:sz w:val="24"/>
          <w:szCs w:val="24"/>
        </w:rPr>
        <w:t>培训：在实施过程中提供全面的培训，培训对象包括系统管理员、管理人员、操作员，系统管理人员培训内容为系统中涉及的相关技术内容；管理人员培训内容为系统流程和相关管理思想；操作员为系统的操作培训；培训项目结束之时，安排进行培训测试，以检验学员对系统的基本操作能力和掌握水平；当学员普遍反映对培训课程不满意时，开发方重新安排培训，并承担全费用。</w:t>
      </w:r>
      <w:r>
        <w:rPr>
          <w:rFonts w:ascii="宋体" w:hAnsi="宋体" w:cs="宋体"/>
          <w:sz w:val="24"/>
          <w:szCs w:val="24"/>
        </w:rPr>
        <w:t xml:space="preserve"> </w:t>
      </w:r>
    </w:p>
    <w:p w14:paraId="1E092F1D">
      <w:pPr>
        <w:spacing w:line="360" w:lineRule="auto"/>
        <w:ind w:firstLine="480" w:firstLineChars="200"/>
        <w:jc w:val="left"/>
        <w:rPr>
          <w:rFonts w:ascii="宋体" w:hAnsi="宋体" w:cs="宋体"/>
          <w:sz w:val="24"/>
          <w:szCs w:val="24"/>
        </w:rPr>
      </w:pPr>
      <w:r>
        <w:rPr>
          <w:rFonts w:hint="eastAsia" w:ascii="宋体" w:hAnsi="宋体" w:cs="宋体"/>
          <w:sz w:val="24"/>
          <w:szCs w:val="24"/>
        </w:rPr>
        <w:t>在医院信息系统建设中，公司必须坚持长期合作、共同发展的原则，时刻跟踪最新技术，为用户提供最先进、最实用的技术及免费补丁升级等。</w:t>
      </w:r>
    </w:p>
    <w:p w14:paraId="7E3C1C14">
      <w:pPr>
        <w:spacing w:line="360" w:lineRule="auto"/>
        <w:ind w:firstLine="480" w:firstLineChars="200"/>
        <w:jc w:val="left"/>
        <w:rPr>
          <w:rFonts w:ascii="宋体" w:hAnsi="宋体" w:cs="宋体"/>
          <w:sz w:val="24"/>
          <w:szCs w:val="24"/>
        </w:rPr>
      </w:pPr>
      <w:r>
        <w:rPr>
          <w:rFonts w:hint="eastAsia" w:ascii="宋体" w:hAnsi="宋体" w:cs="宋体"/>
          <w:sz w:val="24"/>
          <w:szCs w:val="24"/>
        </w:rPr>
        <w:t>根据医院的具体情况，公司每年主动提出建设性的意见和方案，使得医院的信息系统建设不断前进和完善。</w:t>
      </w:r>
    </w:p>
    <w:p w14:paraId="75E8843C">
      <w:pPr>
        <w:spacing w:line="360" w:lineRule="auto"/>
        <w:jc w:val="left"/>
        <w:rPr>
          <w:rFonts w:ascii="宋体" w:hAnsi="宋体" w:cs="宋体"/>
          <w:b/>
          <w:sz w:val="24"/>
          <w:szCs w:val="24"/>
        </w:rPr>
      </w:pPr>
      <w:r>
        <w:rPr>
          <w:rFonts w:hint="eastAsia" w:ascii="宋体" w:hAnsi="宋体" w:cs="宋体"/>
          <w:b/>
          <w:sz w:val="24"/>
          <w:szCs w:val="24"/>
        </w:rPr>
        <w:t>七</w:t>
      </w:r>
      <w:r>
        <w:rPr>
          <w:rFonts w:ascii="宋体" w:hAnsi="宋体" w:cs="宋体"/>
          <w:b/>
          <w:sz w:val="24"/>
          <w:szCs w:val="24"/>
        </w:rPr>
        <w:t>、</w:t>
      </w:r>
      <w:r>
        <w:rPr>
          <w:rFonts w:hint="eastAsia" w:ascii="宋体" w:hAnsi="宋体" w:cs="宋体"/>
          <w:b/>
          <w:sz w:val="24"/>
          <w:szCs w:val="24"/>
        </w:rPr>
        <w:t>售后服务</w:t>
      </w:r>
    </w:p>
    <w:p w14:paraId="43BEF187">
      <w:pPr>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至少提供信息系统</w:t>
      </w:r>
      <w:r>
        <w:rPr>
          <w:rFonts w:ascii="宋体" w:hAnsi="宋体" w:cs="宋体"/>
          <w:sz w:val="24"/>
          <w:szCs w:val="24"/>
        </w:rPr>
        <w:t>三</w:t>
      </w:r>
      <w:r>
        <w:rPr>
          <w:rFonts w:hint="eastAsia" w:ascii="宋体" w:hAnsi="宋体" w:cs="宋体"/>
          <w:sz w:val="24"/>
          <w:szCs w:val="24"/>
        </w:rPr>
        <w:t>年质保服务，包括功能增强性维护、公司最新产品免费升级，保证所开发的软件正常运行。维保期从系统整体验收通过之日起计算；维保期内免上门费、维修费和系统升级费等。</w:t>
      </w:r>
    </w:p>
    <w:p w14:paraId="774F9C92">
      <w:pPr>
        <w:spacing w:line="360" w:lineRule="auto"/>
        <w:ind w:firstLine="480" w:firstLineChars="200"/>
        <w:jc w:val="left"/>
        <w:rPr>
          <w:rFonts w:ascii="宋体" w:hAnsi="宋体" w:cs="宋体"/>
          <w:sz w:val="24"/>
          <w:szCs w:val="24"/>
        </w:rPr>
      </w:pPr>
      <w:r>
        <w:rPr>
          <w:rFonts w:hint="eastAsia" w:ascii="宋体" w:hAnsi="宋体" w:cs="宋体"/>
          <w:sz w:val="24"/>
          <w:szCs w:val="24"/>
        </w:rPr>
        <w:t>2.乙方提供</w:t>
      </w:r>
      <w:r>
        <w:rPr>
          <w:rFonts w:ascii="宋体" w:hAnsi="宋体" w:cs="宋体"/>
          <w:sz w:val="24"/>
          <w:szCs w:val="24"/>
        </w:rPr>
        <w:t>7x24</w:t>
      </w:r>
      <w:r>
        <w:rPr>
          <w:rFonts w:hint="eastAsia" w:ascii="宋体" w:hAnsi="宋体" w:cs="宋体"/>
          <w:sz w:val="24"/>
          <w:szCs w:val="24"/>
        </w:rPr>
        <w:t>小时的系统维护服务</w:t>
      </w:r>
      <w:r>
        <w:rPr>
          <w:rFonts w:ascii="宋体" w:hAnsi="宋体" w:cs="宋体"/>
          <w:sz w:val="24"/>
          <w:szCs w:val="24"/>
        </w:rPr>
        <w:t>(</w:t>
      </w:r>
      <w:r>
        <w:rPr>
          <w:rFonts w:hint="eastAsia" w:ascii="宋体" w:hAnsi="宋体" w:cs="宋体"/>
          <w:sz w:val="24"/>
          <w:szCs w:val="24"/>
        </w:rPr>
        <w:t>以电话服务为主，结合现场服务、远程协助等形式</w:t>
      </w:r>
      <w:r>
        <w:rPr>
          <w:rFonts w:ascii="宋体" w:hAnsi="宋体" w:cs="宋体"/>
          <w:sz w:val="24"/>
          <w:szCs w:val="24"/>
        </w:rPr>
        <w:t>)</w:t>
      </w:r>
      <w:r>
        <w:rPr>
          <w:rFonts w:hint="eastAsia" w:ascii="宋体" w:hAnsi="宋体" w:cs="宋体"/>
          <w:sz w:val="24"/>
          <w:szCs w:val="24"/>
        </w:rPr>
        <w:t>。在服务期内，系统软件出现故障、需要现场服务支持时，乙方技术人员保证于收到服务请求后</w:t>
      </w:r>
      <w:r>
        <w:rPr>
          <w:rFonts w:ascii="宋体" w:hAnsi="宋体" w:cs="宋体"/>
          <w:sz w:val="24"/>
          <w:szCs w:val="24"/>
        </w:rPr>
        <w:t>12</w:t>
      </w:r>
      <w:r>
        <w:rPr>
          <w:rFonts w:hint="eastAsia" w:ascii="宋体" w:hAnsi="宋体" w:cs="宋体"/>
          <w:sz w:val="24"/>
          <w:szCs w:val="24"/>
        </w:rPr>
        <w:t>小时内到达采购单位现场进行故障诊断。排解重大故障，应在接到甲</w:t>
      </w:r>
      <w:r>
        <w:rPr>
          <w:rFonts w:ascii="宋体" w:hAnsi="宋体" w:cs="宋体"/>
          <w:sz w:val="24"/>
          <w:szCs w:val="24"/>
        </w:rPr>
        <w:t>方</w:t>
      </w:r>
      <w:r>
        <w:rPr>
          <w:rFonts w:hint="eastAsia" w:ascii="宋体" w:hAnsi="宋体" w:cs="宋体"/>
          <w:sz w:val="24"/>
          <w:szCs w:val="24"/>
        </w:rPr>
        <w:t>服务请求后</w:t>
      </w:r>
      <w:r>
        <w:rPr>
          <w:rFonts w:ascii="宋体" w:hAnsi="宋体" w:cs="宋体"/>
          <w:sz w:val="24"/>
          <w:szCs w:val="24"/>
        </w:rPr>
        <w:t>4</w:t>
      </w:r>
      <w:r>
        <w:rPr>
          <w:rFonts w:hint="eastAsia" w:ascii="宋体" w:hAnsi="宋体" w:cs="宋体"/>
          <w:sz w:val="24"/>
          <w:szCs w:val="24"/>
        </w:rPr>
        <w:t>小时内到达采购单位现场解决；</w:t>
      </w:r>
      <w:r>
        <w:rPr>
          <w:rFonts w:ascii="宋体" w:hAnsi="宋体" w:cs="宋体"/>
          <w:sz w:val="24"/>
          <w:szCs w:val="24"/>
        </w:rPr>
        <w:t>24</w:t>
      </w:r>
      <w:r>
        <w:rPr>
          <w:rFonts w:hint="eastAsia" w:ascii="宋体" w:hAnsi="宋体" w:cs="宋体"/>
          <w:sz w:val="24"/>
          <w:szCs w:val="24"/>
        </w:rPr>
        <w:t>小时内予以排除故障。</w:t>
      </w:r>
    </w:p>
    <w:p w14:paraId="23A0A7CC">
      <w:pPr>
        <w:spacing w:line="360" w:lineRule="auto"/>
        <w:ind w:firstLine="480" w:firstLineChars="200"/>
        <w:jc w:val="left"/>
        <w:rPr>
          <w:rFonts w:ascii="宋体" w:hAnsi="宋体" w:cs="宋体"/>
          <w:sz w:val="24"/>
          <w:szCs w:val="24"/>
        </w:rPr>
      </w:pPr>
      <w:r>
        <w:rPr>
          <w:rFonts w:ascii="宋体" w:hAnsi="宋体" w:cs="宋体"/>
          <w:sz w:val="24"/>
          <w:szCs w:val="24"/>
        </w:rPr>
        <w:t>3.</w:t>
      </w:r>
      <w:r>
        <w:rPr>
          <w:rFonts w:hint="eastAsia" w:ascii="宋体" w:hAnsi="宋体" w:cs="宋体"/>
          <w:sz w:val="24"/>
          <w:szCs w:val="24"/>
        </w:rPr>
        <w:t>乙方于维保期内提供不定期上门巡检服务及免费预约上门维护服务，服务内容为周期保养检修、检测系统运行状况、处理使用过程中出现的问题、提供软件升级服务、每月</w:t>
      </w:r>
      <w:r>
        <w:rPr>
          <w:rFonts w:ascii="宋体" w:hAnsi="宋体" w:cs="宋体"/>
          <w:sz w:val="24"/>
          <w:szCs w:val="24"/>
        </w:rPr>
        <w:t>提供系统巡检报告</w:t>
      </w:r>
      <w:r>
        <w:rPr>
          <w:rFonts w:hint="eastAsia" w:ascii="宋体" w:hAnsi="宋体" w:cs="宋体"/>
          <w:sz w:val="24"/>
          <w:szCs w:val="24"/>
        </w:rPr>
        <w:t>等；保修期内，乙方负责对其所开发的应用软件进行改错性维护</w:t>
      </w:r>
      <w:r>
        <w:rPr>
          <w:rFonts w:ascii="宋体" w:hAnsi="宋体" w:cs="宋体"/>
          <w:sz w:val="24"/>
          <w:szCs w:val="24"/>
        </w:rPr>
        <w:t>(</w:t>
      </w:r>
      <w:r>
        <w:rPr>
          <w:rFonts w:hint="eastAsia" w:ascii="宋体" w:hAnsi="宋体" w:cs="宋体"/>
          <w:sz w:val="24"/>
          <w:szCs w:val="24"/>
        </w:rPr>
        <w:t>即故障排除</w:t>
      </w:r>
      <w:r>
        <w:rPr>
          <w:rFonts w:ascii="宋体" w:hAnsi="宋体" w:cs="宋体"/>
          <w:sz w:val="24"/>
          <w:szCs w:val="24"/>
        </w:rPr>
        <w:t>)</w:t>
      </w:r>
      <w:r>
        <w:rPr>
          <w:rFonts w:hint="eastAsia" w:ascii="宋体" w:hAnsi="宋体" w:cs="宋体"/>
          <w:sz w:val="24"/>
          <w:szCs w:val="24"/>
        </w:rPr>
        <w:t>，不收取额外费用</w:t>
      </w:r>
      <w:r>
        <w:rPr>
          <w:rFonts w:ascii="宋体" w:hAnsi="宋体" w:cs="宋体"/>
          <w:sz w:val="24"/>
          <w:szCs w:val="24"/>
        </w:rPr>
        <w:t>。3</w:t>
      </w:r>
      <w:r>
        <w:rPr>
          <w:rFonts w:hint="eastAsia" w:ascii="宋体" w:hAnsi="宋体" w:cs="宋体"/>
          <w:sz w:val="24"/>
          <w:szCs w:val="24"/>
        </w:rPr>
        <w:t>年后提供有偿服务，维修服务收费标准按年收费，具体由双方协商签订服务合同。</w:t>
      </w:r>
    </w:p>
    <w:p w14:paraId="6DCDD539">
      <w:pPr>
        <w:spacing w:line="360" w:lineRule="auto"/>
        <w:jc w:val="left"/>
        <w:rPr>
          <w:rFonts w:ascii="宋体" w:hAnsi="宋体" w:cs="宋体"/>
          <w:b/>
          <w:sz w:val="24"/>
          <w:szCs w:val="24"/>
        </w:rPr>
      </w:pPr>
      <w:r>
        <w:rPr>
          <w:rFonts w:hint="eastAsia" w:ascii="宋体" w:hAnsi="宋体" w:cs="宋体"/>
          <w:b/>
          <w:sz w:val="24"/>
          <w:szCs w:val="24"/>
        </w:rPr>
        <w:t>八、项目上线要求</w:t>
      </w:r>
    </w:p>
    <w:p w14:paraId="5505DD9F">
      <w:pPr>
        <w:spacing w:line="360" w:lineRule="auto"/>
        <w:ind w:firstLine="480" w:firstLineChars="200"/>
        <w:jc w:val="left"/>
        <w:rPr>
          <w:rFonts w:ascii="宋体" w:hAnsi="宋体" w:cs="宋体"/>
          <w:sz w:val="24"/>
          <w:szCs w:val="24"/>
        </w:rPr>
      </w:pPr>
      <w:r>
        <w:rPr>
          <w:rFonts w:hint="eastAsia" w:ascii="宋体" w:hAnsi="宋体" w:cs="宋体"/>
          <w:sz w:val="24"/>
          <w:szCs w:val="24"/>
        </w:rPr>
        <w:t>项目实施完成合同所规定的系统软件的安装、调试、测试</w:t>
      </w:r>
      <w:r>
        <w:rPr>
          <w:rFonts w:ascii="宋体" w:hAnsi="宋体" w:cs="宋体"/>
          <w:sz w:val="24"/>
          <w:szCs w:val="24"/>
        </w:rPr>
        <w:t>、</w:t>
      </w:r>
      <w:r>
        <w:rPr>
          <w:rFonts w:hint="eastAsia" w:ascii="宋体" w:hAnsi="宋体" w:cs="宋体"/>
          <w:sz w:val="24"/>
          <w:szCs w:val="24"/>
        </w:rPr>
        <w:t>培训工作后，测试</w:t>
      </w:r>
      <w:r>
        <w:rPr>
          <w:rFonts w:ascii="宋体" w:hAnsi="宋体" w:cs="宋体"/>
          <w:sz w:val="24"/>
          <w:szCs w:val="24"/>
        </w:rPr>
        <w:t>由实施人员、院内技术人员、使用人员测试，</w:t>
      </w:r>
      <w:r>
        <w:rPr>
          <w:rFonts w:hint="eastAsia" w:ascii="宋体" w:hAnsi="宋体" w:cs="宋体"/>
          <w:sz w:val="24"/>
          <w:szCs w:val="24"/>
        </w:rPr>
        <w:t>系统测试通过</w:t>
      </w:r>
      <w:r>
        <w:rPr>
          <w:rFonts w:ascii="宋体" w:hAnsi="宋体" w:cs="宋体"/>
          <w:sz w:val="24"/>
          <w:szCs w:val="24"/>
        </w:rPr>
        <w:t>且</w:t>
      </w:r>
      <w:r>
        <w:rPr>
          <w:rFonts w:hint="eastAsia" w:ascii="宋体" w:hAnsi="宋体" w:cs="宋体"/>
          <w:sz w:val="24"/>
          <w:szCs w:val="24"/>
        </w:rPr>
        <w:t>满</w:t>
      </w:r>
      <w:r>
        <w:rPr>
          <w:rFonts w:ascii="宋体" w:hAnsi="宋体" w:cs="宋体"/>
          <w:sz w:val="24"/>
          <w:szCs w:val="24"/>
        </w:rPr>
        <w:t>足上线条件后</w:t>
      </w:r>
      <w:r>
        <w:rPr>
          <w:rFonts w:hint="eastAsia" w:ascii="宋体" w:hAnsi="宋体" w:cs="宋体"/>
          <w:sz w:val="24"/>
          <w:szCs w:val="24"/>
        </w:rPr>
        <w:t>进行</w:t>
      </w:r>
      <w:r>
        <w:rPr>
          <w:rFonts w:ascii="宋体" w:hAnsi="宋体" w:cs="宋体"/>
          <w:sz w:val="24"/>
          <w:szCs w:val="24"/>
        </w:rPr>
        <w:t>上线，上线</w:t>
      </w:r>
      <w:r>
        <w:rPr>
          <w:rFonts w:hint="eastAsia" w:ascii="宋体" w:hAnsi="宋体" w:cs="宋体"/>
          <w:sz w:val="24"/>
          <w:szCs w:val="24"/>
        </w:rPr>
        <w:t>试</w:t>
      </w:r>
      <w:r>
        <w:rPr>
          <w:rFonts w:ascii="宋体" w:hAnsi="宋体" w:cs="宋体"/>
          <w:sz w:val="24"/>
          <w:szCs w:val="24"/>
        </w:rPr>
        <w:t>运行正常，</w:t>
      </w:r>
      <w:r>
        <w:rPr>
          <w:rFonts w:hint="eastAsia" w:ascii="宋体" w:hAnsi="宋体" w:cs="宋体"/>
          <w:sz w:val="24"/>
          <w:szCs w:val="24"/>
        </w:rPr>
        <w:t>试运行期限为</w:t>
      </w:r>
      <w:r>
        <w:rPr>
          <w:rFonts w:ascii="宋体" w:hAnsi="宋体" w:cs="宋体"/>
          <w:sz w:val="24"/>
          <w:szCs w:val="24"/>
        </w:rPr>
        <w:t>3</w:t>
      </w:r>
      <w:r>
        <w:rPr>
          <w:rFonts w:hint="eastAsia" w:ascii="宋体" w:hAnsi="宋体" w:cs="宋体"/>
          <w:sz w:val="24"/>
          <w:szCs w:val="24"/>
        </w:rPr>
        <w:t>个月。</w:t>
      </w:r>
    </w:p>
    <w:p w14:paraId="2EF80E45">
      <w:pPr>
        <w:spacing w:line="360" w:lineRule="auto"/>
        <w:jc w:val="left"/>
        <w:rPr>
          <w:rFonts w:ascii="宋体" w:hAnsi="宋体" w:cs="宋体"/>
          <w:b/>
          <w:sz w:val="24"/>
          <w:szCs w:val="24"/>
        </w:rPr>
      </w:pPr>
      <w:r>
        <w:rPr>
          <w:rFonts w:hint="eastAsia" w:ascii="宋体" w:hAnsi="宋体" w:cs="宋体"/>
          <w:b/>
          <w:sz w:val="24"/>
          <w:szCs w:val="24"/>
        </w:rPr>
        <w:t>九、验收要求</w:t>
      </w:r>
    </w:p>
    <w:p w14:paraId="21A20EDD">
      <w:pPr>
        <w:spacing w:line="360" w:lineRule="auto"/>
        <w:ind w:firstLine="480" w:firstLineChars="200"/>
        <w:jc w:val="left"/>
        <w:rPr>
          <w:rFonts w:ascii="宋体" w:hAnsi="宋体" w:cs="宋体"/>
          <w:sz w:val="24"/>
          <w:szCs w:val="24"/>
        </w:rPr>
      </w:pPr>
      <w:r>
        <w:rPr>
          <w:rFonts w:hint="eastAsia" w:ascii="宋体" w:hAnsi="宋体" w:cs="宋体"/>
          <w:sz w:val="24"/>
          <w:szCs w:val="24"/>
        </w:rPr>
        <w:t>在试用期间，甲方以纸质方式向乙方提出验收问题列表，乙方派遣工程师入场协调，解决问题后，正常</w:t>
      </w:r>
      <w:r>
        <w:rPr>
          <w:rFonts w:ascii="宋体" w:hAnsi="宋体" w:cs="宋体"/>
          <w:sz w:val="24"/>
          <w:szCs w:val="24"/>
        </w:rPr>
        <w:t>运行</w:t>
      </w:r>
      <w:r>
        <w:rPr>
          <w:rFonts w:hint="eastAsia" w:ascii="宋体" w:hAnsi="宋体" w:cs="宋体"/>
          <w:sz w:val="24"/>
          <w:szCs w:val="24"/>
        </w:rPr>
        <w:t>叁个月无问题</w:t>
      </w:r>
      <w:r>
        <w:rPr>
          <w:rFonts w:ascii="宋体" w:hAnsi="宋体" w:cs="宋体"/>
          <w:sz w:val="24"/>
          <w:szCs w:val="24"/>
        </w:rPr>
        <w:t>，应用软件运行稳定，</w:t>
      </w:r>
      <w:r>
        <w:rPr>
          <w:rFonts w:hint="eastAsia" w:ascii="宋体" w:hAnsi="宋体" w:cs="宋体"/>
          <w:sz w:val="24"/>
          <w:szCs w:val="24"/>
        </w:rPr>
        <w:t>期间的月报数据正确，满足医院业务正常开展；原</w:t>
      </w:r>
      <w:r>
        <w:rPr>
          <w:rFonts w:ascii="宋体" w:hAnsi="宋体" w:cs="宋体"/>
          <w:sz w:val="24"/>
          <w:szCs w:val="24"/>
        </w:rPr>
        <w:t>厂</w:t>
      </w:r>
      <w:r>
        <w:rPr>
          <w:rFonts w:hint="eastAsia" w:ascii="宋体" w:hAnsi="宋体" w:cs="宋体"/>
          <w:sz w:val="24"/>
          <w:szCs w:val="24"/>
        </w:rPr>
        <w:t>质保</w:t>
      </w:r>
      <w:r>
        <w:rPr>
          <w:rFonts w:ascii="宋体" w:hAnsi="宋体" w:cs="宋体"/>
          <w:sz w:val="24"/>
          <w:szCs w:val="24"/>
        </w:rPr>
        <w:t>函、</w:t>
      </w:r>
      <w:r>
        <w:rPr>
          <w:rFonts w:hint="eastAsia" w:ascii="宋体" w:hAnsi="宋体" w:cs="宋体"/>
          <w:sz w:val="24"/>
          <w:szCs w:val="24"/>
        </w:rPr>
        <w:t>需求说明文档、技术设计文档、功能说明文档、测试验收文档、上线文档、用户操作手册和软件维护手册等文档资料齐全，永久</w:t>
      </w:r>
      <w:r>
        <w:rPr>
          <w:rFonts w:ascii="宋体" w:hAnsi="宋体" w:cs="宋体"/>
          <w:sz w:val="24"/>
          <w:szCs w:val="24"/>
        </w:rPr>
        <w:t>注册码（</w:t>
      </w:r>
      <w:r>
        <w:rPr>
          <w:rFonts w:hint="eastAsia" w:ascii="宋体" w:hAnsi="宋体" w:cs="宋体"/>
          <w:sz w:val="24"/>
          <w:szCs w:val="24"/>
        </w:rPr>
        <w:t>如</w:t>
      </w:r>
      <w:r>
        <w:rPr>
          <w:rFonts w:ascii="宋体" w:hAnsi="宋体" w:cs="宋体"/>
          <w:sz w:val="24"/>
          <w:szCs w:val="24"/>
        </w:rPr>
        <w:t>有不少于十年）</w:t>
      </w:r>
      <w:r>
        <w:rPr>
          <w:rFonts w:hint="eastAsia" w:ascii="宋体" w:hAnsi="宋体" w:cs="宋体"/>
          <w:sz w:val="24"/>
          <w:szCs w:val="24"/>
        </w:rPr>
        <w:t>，组织项目验收。</w:t>
      </w:r>
    </w:p>
    <w:p w14:paraId="21C44A91">
      <w:pPr>
        <w:spacing w:line="360" w:lineRule="auto"/>
        <w:jc w:val="left"/>
        <w:rPr>
          <w:rFonts w:ascii="宋体" w:hAnsi="宋体" w:cs="宋体"/>
          <w:b/>
          <w:sz w:val="24"/>
          <w:szCs w:val="24"/>
        </w:rPr>
      </w:pPr>
      <w:r>
        <w:rPr>
          <w:rFonts w:hint="eastAsia" w:ascii="宋体" w:hAnsi="宋体" w:cs="宋体"/>
          <w:b/>
          <w:sz w:val="24"/>
          <w:szCs w:val="24"/>
        </w:rPr>
        <w:t>十</w:t>
      </w:r>
      <w:r>
        <w:rPr>
          <w:rFonts w:ascii="宋体" w:hAnsi="宋体" w:cs="宋体"/>
          <w:b/>
          <w:sz w:val="24"/>
          <w:szCs w:val="24"/>
        </w:rPr>
        <w:t>、</w:t>
      </w:r>
      <w:r>
        <w:rPr>
          <w:rFonts w:hint="eastAsia" w:ascii="宋体" w:hAnsi="宋体" w:cs="宋体"/>
          <w:b/>
          <w:sz w:val="24"/>
          <w:szCs w:val="24"/>
        </w:rPr>
        <w:t>互联互通四甲、电子病历五级、</w:t>
      </w:r>
      <w:r>
        <w:rPr>
          <w:rFonts w:ascii="宋体" w:hAnsi="宋体" w:cs="宋体"/>
          <w:b/>
          <w:sz w:val="24"/>
          <w:szCs w:val="24"/>
        </w:rPr>
        <w:t>智慧服务三级</w:t>
      </w:r>
      <w:r>
        <w:rPr>
          <w:rFonts w:hint="eastAsia" w:ascii="宋体" w:hAnsi="宋体" w:cs="宋体"/>
          <w:b/>
          <w:sz w:val="24"/>
          <w:szCs w:val="24"/>
        </w:rPr>
        <w:t>评审</w:t>
      </w:r>
      <w:r>
        <w:rPr>
          <w:rFonts w:ascii="宋体" w:hAnsi="宋体" w:cs="宋体"/>
          <w:b/>
          <w:sz w:val="24"/>
          <w:szCs w:val="24"/>
        </w:rPr>
        <w:t>要求</w:t>
      </w:r>
    </w:p>
    <w:p w14:paraId="1AABA2C8">
      <w:pPr>
        <w:spacing w:line="360" w:lineRule="auto"/>
        <w:ind w:firstLine="480" w:firstLineChars="200"/>
        <w:jc w:val="left"/>
        <w:rPr>
          <w:rFonts w:ascii="宋体" w:hAnsi="宋体" w:cs="宋体"/>
          <w:sz w:val="24"/>
          <w:szCs w:val="24"/>
        </w:rPr>
      </w:pPr>
      <w:r>
        <w:rPr>
          <w:rFonts w:hint="eastAsia" w:ascii="宋体" w:hAnsi="宋体" w:cs="宋体"/>
          <w:sz w:val="24"/>
          <w:szCs w:val="24"/>
        </w:rPr>
        <w:t>在</w:t>
      </w:r>
      <w:r>
        <w:rPr>
          <w:rFonts w:ascii="宋体" w:hAnsi="宋体" w:cs="宋体"/>
          <w:sz w:val="24"/>
          <w:szCs w:val="24"/>
        </w:rPr>
        <w:t>验收通过五年内免费</w:t>
      </w:r>
      <w:r>
        <w:rPr>
          <w:rFonts w:hint="eastAsia" w:ascii="宋体" w:hAnsi="宋体" w:cs="宋体"/>
          <w:sz w:val="24"/>
          <w:szCs w:val="24"/>
        </w:rPr>
        <w:t>提供评审</w:t>
      </w:r>
      <w:r>
        <w:rPr>
          <w:rFonts w:ascii="宋体" w:hAnsi="宋体" w:cs="宋体"/>
          <w:sz w:val="24"/>
          <w:szCs w:val="24"/>
        </w:rPr>
        <w:t>服务和</w:t>
      </w:r>
      <w:r>
        <w:rPr>
          <w:rFonts w:hint="eastAsia" w:ascii="宋体" w:hAnsi="宋体" w:cs="宋体"/>
          <w:sz w:val="24"/>
          <w:szCs w:val="24"/>
        </w:rPr>
        <w:t>评级</w:t>
      </w:r>
      <w:r>
        <w:rPr>
          <w:rFonts w:ascii="宋体" w:hAnsi="宋体" w:cs="宋体"/>
          <w:sz w:val="24"/>
          <w:szCs w:val="24"/>
        </w:rPr>
        <w:t>相关的系统</w:t>
      </w:r>
      <w:r>
        <w:rPr>
          <w:rFonts w:hint="eastAsia" w:ascii="宋体" w:hAnsi="宋体" w:cs="宋体"/>
          <w:sz w:val="24"/>
          <w:szCs w:val="24"/>
        </w:rPr>
        <w:t>改造</w:t>
      </w:r>
    </w:p>
    <w:p w14:paraId="70EED024">
      <w:pPr>
        <w:spacing w:line="360" w:lineRule="auto"/>
        <w:ind w:firstLine="480" w:firstLineChars="200"/>
        <w:jc w:val="left"/>
        <w:rPr>
          <w:rFonts w:ascii="宋体" w:hAnsi="宋体" w:cs="宋体"/>
          <w:sz w:val="24"/>
          <w:szCs w:val="24"/>
        </w:rPr>
      </w:pPr>
      <w:r>
        <w:rPr>
          <w:rFonts w:hint="eastAsia" w:ascii="宋体" w:hAnsi="宋体" w:cs="宋体"/>
          <w:sz w:val="24"/>
          <w:szCs w:val="24"/>
        </w:rPr>
        <w:t>①按照互联互通四甲、电子病历五级评审、</w:t>
      </w:r>
      <w:r>
        <w:rPr>
          <w:rFonts w:ascii="宋体" w:hAnsi="宋体" w:cs="宋体"/>
          <w:sz w:val="24"/>
          <w:szCs w:val="24"/>
        </w:rPr>
        <w:t>智慧服务三级</w:t>
      </w:r>
      <w:r>
        <w:rPr>
          <w:rFonts w:hint="eastAsia" w:ascii="宋体" w:hAnsi="宋体" w:cs="宋体"/>
          <w:sz w:val="24"/>
          <w:szCs w:val="24"/>
        </w:rPr>
        <w:t>评审标准系统改造</w:t>
      </w:r>
    </w:p>
    <w:p w14:paraId="2C9811D0">
      <w:pPr>
        <w:spacing w:line="360" w:lineRule="auto"/>
        <w:ind w:firstLine="480" w:firstLineChars="200"/>
        <w:jc w:val="left"/>
        <w:rPr>
          <w:rFonts w:ascii="宋体" w:hAnsi="宋体" w:cs="宋体"/>
          <w:sz w:val="24"/>
          <w:szCs w:val="24"/>
        </w:rPr>
      </w:pPr>
      <w:r>
        <w:rPr>
          <w:rFonts w:hint="eastAsia" w:ascii="宋体" w:hAnsi="宋体" w:cs="宋体"/>
          <w:sz w:val="24"/>
          <w:szCs w:val="24"/>
        </w:rPr>
        <w:t>②评审过程技术支持（数据质量优化）</w:t>
      </w:r>
    </w:p>
    <w:p w14:paraId="4EEC8394">
      <w:pPr>
        <w:spacing w:line="360" w:lineRule="auto"/>
        <w:ind w:firstLine="480" w:firstLineChars="200"/>
        <w:jc w:val="left"/>
        <w:rPr>
          <w:rFonts w:ascii="宋体" w:hAnsi="宋体" w:cs="宋体"/>
          <w:sz w:val="24"/>
          <w:szCs w:val="24"/>
        </w:rPr>
      </w:pPr>
      <w:r>
        <w:rPr>
          <w:rFonts w:hint="eastAsia" w:ascii="宋体" w:hAnsi="宋体" w:cs="宋体"/>
          <w:sz w:val="24"/>
          <w:szCs w:val="24"/>
        </w:rPr>
        <w:t>③上报实证材料审核</w:t>
      </w:r>
    </w:p>
    <w:p w14:paraId="6221867B">
      <w:pPr>
        <w:spacing w:line="360" w:lineRule="auto"/>
        <w:ind w:firstLine="480" w:firstLineChars="200"/>
        <w:jc w:val="left"/>
        <w:rPr>
          <w:rFonts w:ascii="宋体" w:hAnsi="宋体" w:cs="宋体"/>
          <w:sz w:val="24"/>
          <w:szCs w:val="24"/>
        </w:rPr>
      </w:pPr>
      <w:r>
        <w:rPr>
          <w:rFonts w:hint="eastAsia" w:ascii="宋体" w:hAnsi="宋体" w:cs="宋体"/>
          <w:sz w:val="24"/>
          <w:szCs w:val="24"/>
        </w:rPr>
        <w:t>④评级启动及迎检培训</w:t>
      </w:r>
    </w:p>
    <w:p w14:paraId="26015270">
      <w:pPr>
        <w:spacing w:line="360" w:lineRule="auto"/>
        <w:ind w:firstLine="480" w:firstLineChars="200"/>
        <w:jc w:val="left"/>
        <w:rPr>
          <w:rFonts w:ascii="宋体" w:hAnsi="宋体" w:cs="宋体"/>
          <w:sz w:val="24"/>
          <w:szCs w:val="24"/>
        </w:rPr>
      </w:pPr>
      <w:r>
        <w:rPr>
          <w:rFonts w:hint="eastAsia" w:ascii="宋体" w:hAnsi="宋体" w:cs="宋体"/>
          <w:sz w:val="24"/>
          <w:szCs w:val="24"/>
        </w:rPr>
        <w:t>⑤现场模拟评审</w:t>
      </w:r>
    </w:p>
    <w:p w14:paraId="4CB0BA51">
      <w:pPr>
        <w:spacing w:line="360" w:lineRule="auto"/>
        <w:ind w:firstLine="480" w:firstLineChars="200"/>
        <w:jc w:val="left"/>
        <w:rPr>
          <w:rFonts w:ascii="宋体" w:hAnsi="宋体" w:cs="宋体"/>
          <w:sz w:val="24"/>
          <w:szCs w:val="24"/>
        </w:rPr>
      </w:pPr>
      <w:r>
        <w:rPr>
          <w:rFonts w:hint="eastAsia" w:ascii="宋体" w:hAnsi="宋体" w:cs="宋体"/>
          <w:sz w:val="24"/>
          <w:szCs w:val="24"/>
        </w:rPr>
        <w:t>⑥现场评审支持</w:t>
      </w:r>
    </w:p>
    <w:p w14:paraId="5205C09D">
      <w:pPr>
        <w:spacing w:line="360" w:lineRule="auto"/>
        <w:jc w:val="left"/>
        <w:rPr>
          <w:rFonts w:hint="eastAsia" w:ascii="宋体" w:hAnsi="宋体" w:cs="宋体"/>
          <w:b/>
          <w:sz w:val="24"/>
          <w:szCs w:val="24"/>
        </w:rPr>
      </w:pPr>
      <w:r>
        <w:rPr>
          <w:rFonts w:hint="eastAsia" w:ascii="宋体" w:hAnsi="宋体" w:cs="宋体"/>
          <w:b/>
          <w:sz w:val="24"/>
          <w:szCs w:val="24"/>
        </w:rPr>
        <w:t xml:space="preserve">      </w:t>
      </w:r>
      <w:bookmarkEnd w:id="2"/>
    </w:p>
    <w:p w14:paraId="5D8A5C4F">
      <w:pPr>
        <w:spacing w:line="360" w:lineRule="auto"/>
        <w:jc w:val="center"/>
        <w:outlineLvl w:val="0"/>
        <w:rPr>
          <w:rFonts w:ascii="宋体" w:hAnsi="宋体" w:cs="宋体"/>
          <w:b/>
          <w:sz w:val="36"/>
          <w:szCs w:val="36"/>
        </w:rPr>
      </w:pPr>
      <w:bookmarkStart w:id="3" w:name="_Hlt41475878"/>
      <w:bookmarkEnd w:id="3"/>
      <w:bookmarkStart w:id="4" w:name="_Hlt41470519"/>
      <w:bookmarkEnd w:id="4"/>
      <w:bookmarkStart w:id="5" w:name="_Hlt41475468"/>
      <w:bookmarkEnd w:id="5"/>
      <w:r>
        <w:rPr>
          <w:rFonts w:hint="eastAsia" w:ascii="宋体" w:hAnsi="宋体" w:cs="宋体"/>
          <w:b/>
          <w:sz w:val="36"/>
          <w:szCs w:val="36"/>
        </w:rPr>
        <w:t>第三章   投标须知</w:t>
      </w:r>
      <w:bookmarkEnd w:id="1"/>
    </w:p>
    <w:p w14:paraId="45FAC130">
      <w:pPr>
        <w:numPr>
          <w:ilvl w:val="0"/>
          <w:numId w:val="8"/>
        </w:numPr>
        <w:spacing w:line="360" w:lineRule="auto"/>
        <w:ind w:hanging="635"/>
        <w:rPr>
          <w:rFonts w:ascii="宋体" w:hAnsi="宋体" w:cs="宋体"/>
          <w:b/>
          <w:bCs/>
          <w:sz w:val="24"/>
          <w:szCs w:val="24"/>
        </w:rPr>
      </w:pPr>
      <w:r>
        <w:rPr>
          <w:rFonts w:hint="eastAsia" w:ascii="宋体" w:hAnsi="宋体" w:cs="宋体"/>
          <w:b/>
          <w:bCs/>
          <w:sz w:val="24"/>
          <w:szCs w:val="24"/>
        </w:rPr>
        <w:t>说明</w:t>
      </w:r>
    </w:p>
    <w:p w14:paraId="33BA6EE8">
      <w:pPr>
        <w:spacing w:line="360" w:lineRule="auto"/>
        <w:ind w:firstLine="480" w:firstLineChars="200"/>
        <w:rPr>
          <w:rFonts w:ascii="宋体" w:hAnsi="宋体" w:cs="宋体"/>
          <w:sz w:val="24"/>
          <w:szCs w:val="24"/>
        </w:rPr>
      </w:pPr>
      <w:r>
        <w:rPr>
          <w:rFonts w:hint="eastAsia" w:ascii="宋体" w:hAnsi="宋体" w:cs="宋体"/>
          <w:sz w:val="24"/>
          <w:szCs w:val="24"/>
        </w:rPr>
        <w:t>1.本采购文件中所称 “采购人”均为如东县中医院，“投标人”为本项目投标供应商，“谈判小组”为本项目评标小组，“成交供应商”为本项目中标供应商。</w:t>
      </w:r>
    </w:p>
    <w:p w14:paraId="2D8D3F20">
      <w:pPr>
        <w:spacing w:line="360" w:lineRule="auto"/>
        <w:ind w:firstLine="480" w:firstLineChars="200"/>
        <w:rPr>
          <w:rFonts w:ascii="宋体" w:hAnsi="宋体" w:cs="宋体"/>
          <w:bCs/>
          <w:sz w:val="24"/>
          <w:szCs w:val="24"/>
        </w:rPr>
      </w:pPr>
      <w:r>
        <w:rPr>
          <w:rFonts w:hint="eastAsia" w:ascii="宋体" w:hAnsi="宋体" w:cs="宋体"/>
          <w:sz w:val="24"/>
          <w:szCs w:val="24"/>
        </w:rPr>
        <w:t>2.本采购文件仅适用于本次竞争性谈判采购，解释权归采购人所有。</w:t>
      </w:r>
    </w:p>
    <w:p w14:paraId="3B8E3F28">
      <w:pPr>
        <w:spacing w:line="360" w:lineRule="auto"/>
        <w:ind w:left="480"/>
        <w:rPr>
          <w:rFonts w:ascii="宋体" w:hAnsi="宋体" w:cs="宋体"/>
          <w:sz w:val="24"/>
          <w:szCs w:val="24"/>
        </w:rPr>
      </w:pPr>
      <w:r>
        <w:rPr>
          <w:rFonts w:hint="eastAsia" w:ascii="宋体" w:hAnsi="宋体" w:cs="宋体"/>
          <w:sz w:val="24"/>
          <w:szCs w:val="24"/>
        </w:rPr>
        <w:t>3.投标供应商不得在成交后将成交项目转包给其它企业法人或自然人。</w:t>
      </w:r>
    </w:p>
    <w:p w14:paraId="33207E77">
      <w:pPr>
        <w:tabs>
          <w:tab w:val="left" w:pos="900"/>
        </w:tabs>
        <w:spacing w:line="360" w:lineRule="auto"/>
        <w:ind w:firstLine="480" w:firstLineChars="200"/>
        <w:rPr>
          <w:rFonts w:ascii="宋体" w:hAnsi="宋体" w:cs="宋体"/>
          <w:sz w:val="24"/>
          <w:szCs w:val="24"/>
        </w:rPr>
      </w:pPr>
      <w:r>
        <w:rPr>
          <w:rFonts w:hint="eastAsia" w:ascii="宋体" w:hAnsi="宋体" w:cs="宋体"/>
          <w:sz w:val="24"/>
          <w:szCs w:val="24"/>
        </w:rPr>
        <w:t>4.投标供应商应认真阅读采购文件中所有的事项、格式、条款和规范等要求。按采购文件要求和规定编制谈判响应文件，并保证所提供的全部资料的真实性，以使其谈判响应文件对采购文件做出实质性响应，否则其风险由投标供应商自行承担。</w:t>
      </w:r>
    </w:p>
    <w:p w14:paraId="28504F9A">
      <w:pPr>
        <w:spacing w:line="360" w:lineRule="auto"/>
        <w:ind w:firstLine="241" w:firstLineChars="100"/>
        <w:rPr>
          <w:rFonts w:ascii="宋体" w:hAnsi="宋体" w:cs="宋体"/>
          <w:b/>
          <w:sz w:val="24"/>
          <w:szCs w:val="24"/>
        </w:rPr>
      </w:pPr>
      <w:r>
        <w:rPr>
          <w:rFonts w:hint="eastAsia" w:ascii="宋体" w:hAnsi="宋体" w:cs="宋体"/>
          <w:b/>
          <w:bCs/>
          <w:sz w:val="24"/>
          <w:szCs w:val="24"/>
        </w:rPr>
        <w:t>二、</w:t>
      </w:r>
      <w:r>
        <w:rPr>
          <w:rFonts w:hint="eastAsia" w:ascii="宋体" w:hAnsi="宋体" w:cs="宋体"/>
          <w:b/>
          <w:sz w:val="24"/>
          <w:szCs w:val="24"/>
        </w:rPr>
        <w:t>合格的供应商</w:t>
      </w:r>
    </w:p>
    <w:p w14:paraId="4211E339">
      <w:pPr>
        <w:spacing w:line="360" w:lineRule="auto"/>
        <w:ind w:firstLine="480" w:firstLineChars="200"/>
        <w:rPr>
          <w:rFonts w:ascii="宋体" w:hAnsi="宋体" w:cs="宋体"/>
          <w:sz w:val="24"/>
          <w:szCs w:val="24"/>
        </w:rPr>
      </w:pPr>
      <w:r>
        <w:rPr>
          <w:rFonts w:hint="eastAsia" w:ascii="宋体" w:hAnsi="宋体" w:cs="宋体"/>
          <w:sz w:val="24"/>
          <w:szCs w:val="24"/>
        </w:rPr>
        <w:t>1.满足采购公告中投标供应商资格要求的规定。</w:t>
      </w:r>
    </w:p>
    <w:p w14:paraId="510075D1">
      <w:pPr>
        <w:spacing w:line="360" w:lineRule="auto"/>
        <w:ind w:left="360" w:firstLine="240" w:firstLineChars="100"/>
        <w:rPr>
          <w:rFonts w:ascii="宋体" w:hAnsi="宋体" w:cs="宋体"/>
          <w:sz w:val="24"/>
          <w:szCs w:val="24"/>
        </w:rPr>
      </w:pPr>
      <w:r>
        <w:rPr>
          <w:rFonts w:hint="eastAsia" w:ascii="宋体" w:hAnsi="宋体" w:cs="宋体"/>
          <w:sz w:val="24"/>
          <w:szCs w:val="24"/>
        </w:rPr>
        <w:t>2.满足本采购文件实质性条款的规定。</w:t>
      </w:r>
    </w:p>
    <w:p w14:paraId="45C2186D">
      <w:pPr>
        <w:spacing w:line="360" w:lineRule="auto"/>
        <w:ind w:left="227"/>
        <w:rPr>
          <w:rFonts w:ascii="宋体" w:hAnsi="宋体" w:cs="宋体"/>
          <w:b/>
          <w:sz w:val="24"/>
          <w:szCs w:val="24"/>
        </w:rPr>
      </w:pPr>
      <w:r>
        <w:rPr>
          <w:rFonts w:hint="eastAsia" w:ascii="宋体" w:hAnsi="宋体" w:cs="宋体"/>
          <w:b/>
          <w:sz w:val="24"/>
          <w:szCs w:val="24"/>
        </w:rPr>
        <w:t>三、竞争性谈判采购程序及成交原则</w:t>
      </w:r>
    </w:p>
    <w:p w14:paraId="2E2CEF83">
      <w:pPr>
        <w:spacing w:line="360" w:lineRule="auto"/>
        <w:ind w:firstLine="480" w:firstLineChars="200"/>
        <w:rPr>
          <w:rFonts w:ascii="宋体" w:hAnsi="宋体" w:cs="宋体"/>
          <w:sz w:val="24"/>
          <w:szCs w:val="24"/>
        </w:rPr>
      </w:pPr>
      <w:r>
        <w:rPr>
          <w:rFonts w:hint="eastAsia" w:ascii="宋体" w:hAnsi="宋体" w:cs="宋体"/>
          <w:sz w:val="24"/>
          <w:szCs w:val="24"/>
        </w:rPr>
        <w:t>1.投标供应商法定代表人（或法定代表授权委托人）在投标截止时间前到采购人指定地点递交投标文件、谈判保证金，参加竞争性谈判。</w:t>
      </w:r>
    </w:p>
    <w:p w14:paraId="0AC27570">
      <w:pPr>
        <w:spacing w:line="360" w:lineRule="auto"/>
        <w:ind w:firstLine="480" w:firstLineChars="200"/>
        <w:rPr>
          <w:rFonts w:ascii="宋体" w:hAnsi="宋体" w:cs="宋体"/>
          <w:sz w:val="24"/>
          <w:szCs w:val="24"/>
        </w:rPr>
      </w:pPr>
      <w:r>
        <w:rPr>
          <w:rFonts w:hint="eastAsia" w:ascii="宋体" w:hAnsi="宋体" w:cs="宋体"/>
          <w:sz w:val="24"/>
          <w:szCs w:val="24"/>
        </w:rPr>
        <w:t>2.谈判小组根据采购文件要求对投标供应商进行资格性、符合性审查。</w:t>
      </w:r>
    </w:p>
    <w:p w14:paraId="6CE89C01">
      <w:pPr>
        <w:spacing w:line="360" w:lineRule="auto"/>
        <w:ind w:firstLine="480" w:firstLineChars="200"/>
        <w:rPr>
          <w:rFonts w:ascii="宋体" w:hAnsi="宋体" w:cs="宋体"/>
          <w:sz w:val="24"/>
        </w:rPr>
      </w:pPr>
      <w:r>
        <w:rPr>
          <w:rFonts w:hint="eastAsia" w:ascii="宋体" w:hAnsi="宋体" w:cs="宋体"/>
          <w:sz w:val="24"/>
          <w:szCs w:val="24"/>
        </w:rPr>
        <w:t>⑴资格性检查内容包括：①投标文件数量及密封、标记情况；②</w:t>
      </w:r>
      <w:r>
        <w:rPr>
          <w:rFonts w:hint="eastAsia" w:ascii="宋体" w:hAnsi="宋体" w:cs="宋体"/>
          <w:sz w:val="24"/>
        </w:rPr>
        <w:t>投标人及有关证明资料的完整性、真实性。资格性审查未通过的投标人作无效投标处理；③ 在进行资格性审查的同时，将在“信用中国”网站（www.creditchina.gov.cn）对投标人是否被列入失信被执行人、重大税收违法案件当事人名单、政府采购严重失信行为记录名单情况进行查询，以确定投标人是否具备投标资格。查询结果将以网页打印的形式留存并归档。</w:t>
      </w:r>
    </w:p>
    <w:p w14:paraId="46BED2E9">
      <w:pPr>
        <w:spacing w:line="360" w:lineRule="auto"/>
        <w:ind w:firstLine="480" w:firstLineChars="200"/>
        <w:rPr>
          <w:rFonts w:ascii="宋体" w:hAnsi="宋体" w:cs="宋体"/>
          <w:sz w:val="24"/>
          <w:szCs w:val="24"/>
        </w:rPr>
      </w:pPr>
      <w:r>
        <w:rPr>
          <w:rFonts w:hint="eastAsia" w:ascii="宋体" w:hAnsi="宋体" w:cs="宋体"/>
          <w:sz w:val="24"/>
          <w:szCs w:val="24"/>
        </w:rPr>
        <w:t>⑵符合性检查内容包括：①投标文件的有效性和完整性；②投标供应商和投标文件是否对采购文件作出实质性响应。符合性审查未通过的投标供应商作无效投标处理。</w:t>
      </w:r>
    </w:p>
    <w:p w14:paraId="7EB2E4D5">
      <w:pPr>
        <w:spacing w:line="360" w:lineRule="auto"/>
        <w:ind w:firstLine="480" w:firstLineChars="200"/>
        <w:rPr>
          <w:rFonts w:ascii="宋体" w:hAnsi="宋体" w:cs="宋体"/>
          <w:sz w:val="24"/>
          <w:szCs w:val="24"/>
        </w:rPr>
      </w:pPr>
      <w:r>
        <w:rPr>
          <w:rFonts w:hint="eastAsia" w:ascii="宋体" w:hAnsi="宋体" w:cs="宋体"/>
          <w:sz w:val="24"/>
          <w:szCs w:val="24"/>
        </w:rPr>
        <w:t>3.谈判小组宣布合格投标人名单，并与合格投标人逐一进行商务和技术谈判。</w:t>
      </w:r>
    </w:p>
    <w:p w14:paraId="2232A1FF">
      <w:pPr>
        <w:spacing w:line="360" w:lineRule="auto"/>
        <w:ind w:firstLine="480" w:firstLineChars="200"/>
        <w:rPr>
          <w:rFonts w:ascii="宋体" w:hAnsi="宋体" w:cs="宋体"/>
          <w:sz w:val="24"/>
          <w:szCs w:val="24"/>
        </w:rPr>
      </w:pPr>
      <w:r>
        <w:rPr>
          <w:rFonts w:hint="eastAsia" w:ascii="宋体" w:hAnsi="宋体" w:cs="宋体"/>
          <w:sz w:val="24"/>
          <w:szCs w:val="24"/>
        </w:rPr>
        <w:t>⑴在谈判过程中，经采购人代表确认，谈判小组可以根据采购文件和谈判情况实质性变动采购需求（采购项目要求）中的技术服务要求以及合同条款。</w:t>
      </w:r>
    </w:p>
    <w:p w14:paraId="3D8039F8">
      <w:pPr>
        <w:spacing w:line="360" w:lineRule="auto"/>
        <w:ind w:firstLine="480" w:firstLineChars="200"/>
        <w:rPr>
          <w:rFonts w:ascii="宋体" w:hAnsi="宋体" w:cs="宋体"/>
          <w:sz w:val="24"/>
          <w:szCs w:val="24"/>
        </w:rPr>
      </w:pPr>
      <w:r>
        <w:rPr>
          <w:rFonts w:hint="eastAsia" w:ascii="宋体" w:hAnsi="宋体" w:cs="宋体"/>
          <w:sz w:val="24"/>
          <w:szCs w:val="24"/>
        </w:rPr>
        <w:t>⑵对采购文件作出的实质性变动是采购文件的有效组成部分，谈判小组以书面形式通知参加谈判的供应商。</w:t>
      </w:r>
    </w:p>
    <w:p w14:paraId="2C3028FB">
      <w:pPr>
        <w:spacing w:line="360" w:lineRule="auto"/>
        <w:ind w:firstLine="480" w:firstLineChars="200"/>
        <w:rPr>
          <w:rFonts w:ascii="宋体" w:hAnsi="宋体" w:cs="宋体"/>
          <w:sz w:val="24"/>
        </w:rPr>
      </w:pPr>
      <w:r>
        <w:rPr>
          <w:rFonts w:hint="eastAsia" w:ascii="宋体" w:hAnsi="宋体" w:cs="宋体"/>
          <w:sz w:val="24"/>
          <w:szCs w:val="24"/>
        </w:rPr>
        <w:t>4</w:t>
      </w:r>
      <w:r>
        <w:rPr>
          <w:rFonts w:hint="eastAsia" w:ascii="宋体" w:hAnsi="宋体" w:cs="宋体"/>
          <w:sz w:val="24"/>
        </w:rPr>
        <w:t>.商务和技术谈判结束后，谈判小组向所有参加谈判的合格供应商宣布本采购项目的最终采购需求，并要求所有供应商在规定的时间内进行现场报价（含最终报价）。谈判小组确定的最终采购需求、谈判内容及相关项目要求，在最终报价时对每个供应商是一致的。</w:t>
      </w:r>
    </w:p>
    <w:p w14:paraId="04DFFDE2">
      <w:pPr>
        <w:spacing w:line="360" w:lineRule="auto"/>
        <w:ind w:firstLine="480" w:firstLineChars="200"/>
        <w:rPr>
          <w:rFonts w:ascii="宋体" w:hAnsi="宋体" w:cs="宋体"/>
          <w:sz w:val="24"/>
        </w:rPr>
      </w:pPr>
      <w:r>
        <w:rPr>
          <w:rFonts w:hint="eastAsia" w:ascii="宋体" w:hAnsi="宋体" w:cs="宋体"/>
          <w:sz w:val="24"/>
        </w:rPr>
        <w:t>5.合格投标人对投标项目作出现场报价。已递交投标文件的供应商，在进行最后报价之前，可以根据谈判情况退出谈判。</w:t>
      </w:r>
    </w:p>
    <w:p w14:paraId="0B5A11F8">
      <w:pPr>
        <w:spacing w:line="360" w:lineRule="auto"/>
        <w:ind w:firstLine="480" w:firstLineChars="200"/>
        <w:rPr>
          <w:rFonts w:ascii="宋体" w:hAnsi="宋体" w:cs="宋体"/>
          <w:sz w:val="24"/>
          <w:szCs w:val="24"/>
        </w:rPr>
      </w:pPr>
      <w:r>
        <w:rPr>
          <w:rFonts w:hint="eastAsia" w:ascii="宋体" w:hAnsi="宋体" w:cs="宋体"/>
          <w:sz w:val="24"/>
          <w:szCs w:val="24"/>
        </w:rPr>
        <w:t>6.谈判小组从质量和服务均能满足采购文件实质性响应要求的合格投标供应商中，按照最终报价由低到高的顺序分标段分别确定成交供应商或成交候选供应商。</w:t>
      </w:r>
      <w:r>
        <w:rPr>
          <w:rFonts w:hint="eastAsia" w:ascii="宋体" w:hAnsi="宋体" w:cs="宋体"/>
          <w:b/>
          <w:sz w:val="24"/>
        </w:rPr>
        <w:t>如出现最终报价相同的情况将组织最低报价的供应商进行再次报价，再次报价必须小于前次报价。</w:t>
      </w:r>
    </w:p>
    <w:p w14:paraId="712BB375">
      <w:pPr>
        <w:pStyle w:val="24"/>
        <w:snapToGrid w:val="0"/>
        <w:spacing w:line="360" w:lineRule="auto"/>
        <w:ind w:firstLine="480" w:firstLineChars="200"/>
        <w:rPr>
          <w:rFonts w:hAnsi="宋体" w:cs="宋体"/>
          <w:sz w:val="24"/>
          <w:szCs w:val="24"/>
        </w:rPr>
      </w:pPr>
      <w:r>
        <w:rPr>
          <w:rFonts w:hint="eastAsia" w:hAnsi="宋体" w:cs="宋体"/>
          <w:sz w:val="24"/>
          <w:szCs w:val="24"/>
        </w:rPr>
        <w:t>7．成交供应商有涉及对标书实质性内容的隐瞒、欺诈或违法违规行为，将被取消成交资格。</w:t>
      </w:r>
    </w:p>
    <w:p w14:paraId="4E3E9F69">
      <w:pPr>
        <w:spacing w:line="360" w:lineRule="auto"/>
        <w:ind w:firstLine="480" w:firstLineChars="200"/>
        <w:rPr>
          <w:rFonts w:ascii="宋体" w:hAnsi="宋体" w:cs="宋体"/>
          <w:sz w:val="24"/>
          <w:szCs w:val="24"/>
        </w:rPr>
      </w:pPr>
      <w:r>
        <w:rPr>
          <w:rFonts w:hint="eastAsia" w:ascii="宋体" w:hAnsi="宋体" w:cs="宋体"/>
          <w:sz w:val="24"/>
          <w:szCs w:val="24"/>
        </w:rPr>
        <w:t>8. 成交结果经公示无异议后，采购人向成交供应商签发《中标（成交）通知书》。</w:t>
      </w:r>
    </w:p>
    <w:p w14:paraId="2148ED57">
      <w:pPr>
        <w:spacing w:line="360" w:lineRule="auto"/>
        <w:ind w:left="227"/>
        <w:rPr>
          <w:rFonts w:ascii="宋体" w:hAnsi="宋体" w:cs="宋体"/>
          <w:b/>
          <w:sz w:val="24"/>
          <w:szCs w:val="24"/>
        </w:rPr>
      </w:pPr>
      <w:r>
        <w:rPr>
          <w:rFonts w:hint="eastAsia" w:ascii="宋体" w:hAnsi="宋体" w:cs="宋体"/>
          <w:b/>
          <w:sz w:val="24"/>
          <w:szCs w:val="24"/>
        </w:rPr>
        <w:t>五、无效投标及废标情形</w:t>
      </w:r>
    </w:p>
    <w:p w14:paraId="3810896B">
      <w:pPr>
        <w:spacing w:line="360" w:lineRule="auto"/>
        <w:ind w:left="480"/>
        <w:rPr>
          <w:rFonts w:ascii="宋体" w:hAnsi="宋体" w:cs="宋体"/>
          <w:sz w:val="24"/>
          <w:szCs w:val="24"/>
        </w:rPr>
      </w:pPr>
      <w:r>
        <w:rPr>
          <w:rFonts w:hint="eastAsia" w:ascii="宋体" w:hAnsi="宋体" w:cs="宋体"/>
          <w:sz w:val="24"/>
          <w:szCs w:val="24"/>
        </w:rPr>
        <w:t>1.符合下列情形之一者，投标供应商投标无效：</w:t>
      </w:r>
    </w:p>
    <w:p w14:paraId="78E43B07">
      <w:pPr>
        <w:spacing w:line="360" w:lineRule="auto"/>
        <w:ind w:firstLine="480"/>
        <w:rPr>
          <w:rFonts w:ascii="宋体" w:hAnsi="宋体" w:cs="宋体"/>
          <w:sz w:val="24"/>
          <w:szCs w:val="24"/>
        </w:rPr>
      </w:pPr>
      <w:r>
        <w:rPr>
          <w:rFonts w:hint="eastAsia" w:ascii="宋体" w:hAnsi="宋体" w:cs="宋体"/>
          <w:sz w:val="24"/>
          <w:szCs w:val="24"/>
        </w:rPr>
        <w:t>（1）投标供应商未按本采购文件</w:t>
      </w:r>
      <w:r>
        <w:rPr>
          <w:rFonts w:hint="eastAsia" w:ascii="宋体" w:hAnsi="宋体" w:cs="宋体"/>
          <w:bCs/>
          <w:sz w:val="24"/>
          <w:szCs w:val="24"/>
        </w:rPr>
        <w:t>规定要求密封、签署、盖章的；投标文件未按规定的格式、内容和要求编制、投标文件字迹潦草、模糊、无法辨认的；</w:t>
      </w:r>
    </w:p>
    <w:p w14:paraId="4D78E855">
      <w:pPr>
        <w:spacing w:line="360" w:lineRule="auto"/>
        <w:ind w:firstLine="480"/>
        <w:rPr>
          <w:rFonts w:ascii="宋体" w:hAnsi="宋体" w:cs="宋体"/>
          <w:sz w:val="24"/>
          <w:szCs w:val="24"/>
        </w:rPr>
      </w:pPr>
      <w:r>
        <w:rPr>
          <w:rFonts w:hint="eastAsia" w:ascii="宋体" w:hAnsi="宋体" w:cs="宋体"/>
          <w:sz w:val="24"/>
          <w:szCs w:val="24"/>
        </w:rPr>
        <w:t>（2）投标供应商或投标产品的资格证明文件不符合本采购文件要求的；</w:t>
      </w:r>
    </w:p>
    <w:p w14:paraId="2E7C2F84">
      <w:pPr>
        <w:spacing w:line="360" w:lineRule="auto"/>
        <w:ind w:firstLine="480"/>
        <w:rPr>
          <w:rFonts w:ascii="宋体" w:hAnsi="宋体" w:cs="宋体"/>
          <w:sz w:val="24"/>
          <w:szCs w:val="24"/>
        </w:rPr>
      </w:pPr>
      <w:r>
        <w:rPr>
          <w:rFonts w:hint="eastAsia" w:ascii="宋体" w:hAnsi="宋体" w:cs="宋体"/>
          <w:sz w:val="24"/>
          <w:szCs w:val="24"/>
        </w:rPr>
        <w:t>（3）投标文件资料不全或内容偏离本采购文件规定，谈判小组认为未对采购文件作出实质性响应的</w:t>
      </w:r>
      <w:r>
        <w:rPr>
          <w:rFonts w:hint="eastAsia" w:ascii="宋体" w:hAnsi="宋体" w:cs="宋体"/>
          <w:bCs/>
          <w:sz w:val="24"/>
          <w:szCs w:val="24"/>
        </w:rPr>
        <w:t>或对</w:t>
      </w:r>
      <w:r>
        <w:rPr>
          <w:rFonts w:hint="eastAsia" w:ascii="宋体" w:hAnsi="宋体" w:cs="宋体"/>
          <w:sz w:val="24"/>
          <w:szCs w:val="24"/>
        </w:rPr>
        <w:t>采购文件</w:t>
      </w:r>
      <w:r>
        <w:rPr>
          <w:rFonts w:hint="eastAsia" w:ascii="宋体" w:hAnsi="宋体" w:cs="宋体"/>
          <w:bCs/>
          <w:sz w:val="24"/>
          <w:szCs w:val="24"/>
        </w:rPr>
        <w:t>进行实质性修改的；</w:t>
      </w:r>
    </w:p>
    <w:p w14:paraId="2B7CA48F">
      <w:pPr>
        <w:spacing w:line="360" w:lineRule="auto"/>
        <w:ind w:firstLine="480"/>
        <w:rPr>
          <w:rFonts w:ascii="宋体" w:hAnsi="宋体" w:cs="宋体"/>
          <w:b/>
          <w:sz w:val="24"/>
          <w:szCs w:val="24"/>
        </w:rPr>
      </w:pPr>
      <w:r>
        <w:rPr>
          <w:rFonts w:hint="eastAsia" w:ascii="宋体" w:hAnsi="宋体" w:cs="宋体"/>
          <w:bCs/>
          <w:sz w:val="24"/>
          <w:szCs w:val="24"/>
        </w:rPr>
        <w:t>（4）</w:t>
      </w:r>
      <w:r>
        <w:rPr>
          <w:rFonts w:hint="eastAsia" w:ascii="宋体" w:hAnsi="宋体" w:cs="宋体"/>
          <w:b/>
          <w:sz w:val="24"/>
          <w:szCs w:val="24"/>
        </w:rPr>
        <w:t>投标人在投标文件中提交的投标报价高于本项目采购预算的（注：本项目采购预算为</w:t>
      </w:r>
      <w:r>
        <w:rPr>
          <w:rFonts w:hint="eastAsia" w:ascii="宋体" w:hAnsi="宋体" w:cs="宋体"/>
          <w:b/>
          <w:sz w:val="24"/>
          <w:szCs w:val="24"/>
          <w:lang w:eastAsia="zh-CN"/>
        </w:rPr>
        <w:t>28万元</w:t>
      </w:r>
      <w:r>
        <w:rPr>
          <w:rFonts w:hint="eastAsia" w:ascii="宋体" w:hAnsi="宋体" w:cs="宋体"/>
          <w:b/>
          <w:sz w:val="24"/>
          <w:szCs w:val="24"/>
        </w:rPr>
        <w:t>整）；</w:t>
      </w:r>
    </w:p>
    <w:p w14:paraId="2294DF51">
      <w:pPr>
        <w:spacing w:line="360" w:lineRule="auto"/>
        <w:ind w:firstLine="480" w:firstLineChars="200"/>
        <w:rPr>
          <w:rFonts w:ascii="宋体" w:hAnsi="宋体" w:cs="宋体"/>
          <w:b/>
          <w:sz w:val="24"/>
          <w:szCs w:val="24"/>
        </w:rPr>
      </w:pPr>
      <w:r>
        <w:rPr>
          <w:rFonts w:hint="eastAsia" w:ascii="宋体" w:hAnsi="宋体" w:cs="宋体"/>
          <w:bCs/>
          <w:sz w:val="24"/>
          <w:szCs w:val="24"/>
        </w:rPr>
        <w:t>（5）投标人未按本采购文件要求携带相关资料的备查原件到投标现场的；</w:t>
      </w:r>
    </w:p>
    <w:p w14:paraId="1A84EA81">
      <w:pPr>
        <w:spacing w:line="360" w:lineRule="auto"/>
        <w:ind w:firstLine="480"/>
        <w:rPr>
          <w:rFonts w:ascii="宋体" w:hAnsi="宋体" w:cs="宋体"/>
          <w:sz w:val="24"/>
          <w:szCs w:val="24"/>
        </w:rPr>
      </w:pPr>
      <w:r>
        <w:rPr>
          <w:rFonts w:hint="eastAsia" w:ascii="宋体" w:hAnsi="宋体" w:cs="宋体"/>
          <w:bCs/>
          <w:sz w:val="24"/>
          <w:szCs w:val="24"/>
        </w:rPr>
        <w:t>（6）</w:t>
      </w:r>
      <w:r>
        <w:rPr>
          <w:rFonts w:hint="eastAsia" w:ascii="宋体" w:hAnsi="宋体" w:cs="宋体"/>
          <w:sz w:val="24"/>
          <w:szCs w:val="24"/>
        </w:rPr>
        <w:t>投标人未按现场要求进行报价的；</w:t>
      </w:r>
    </w:p>
    <w:p w14:paraId="3DBB788F">
      <w:pPr>
        <w:spacing w:line="360" w:lineRule="auto"/>
        <w:ind w:firstLine="480"/>
        <w:rPr>
          <w:rFonts w:ascii="宋体" w:hAnsi="宋体" w:cs="宋体"/>
          <w:sz w:val="24"/>
          <w:szCs w:val="24"/>
        </w:rPr>
      </w:pPr>
      <w:r>
        <w:rPr>
          <w:rFonts w:hint="eastAsia" w:ascii="宋体" w:hAnsi="宋体" w:cs="宋体"/>
          <w:sz w:val="24"/>
          <w:szCs w:val="24"/>
        </w:rPr>
        <w:t>（7）投标文件提出了不能满足本采购文件要求或采购人不能接受的项目验收、计量、价款结算支付办法；</w:t>
      </w:r>
    </w:p>
    <w:p w14:paraId="470D1CFC">
      <w:pPr>
        <w:spacing w:line="360" w:lineRule="auto"/>
        <w:ind w:firstLine="480"/>
        <w:rPr>
          <w:rFonts w:ascii="宋体" w:hAnsi="宋体" w:cs="宋体"/>
          <w:sz w:val="24"/>
          <w:szCs w:val="24"/>
        </w:rPr>
      </w:pPr>
      <w:r>
        <w:rPr>
          <w:rFonts w:hint="eastAsia" w:ascii="宋体" w:hAnsi="宋体" w:cs="宋体"/>
          <w:sz w:val="24"/>
          <w:szCs w:val="24"/>
        </w:rPr>
        <w:t>（8）投标文件中有两个或两个以上报价的；</w:t>
      </w:r>
    </w:p>
    <w:p w14:paraId="04DF5BCD">
      <w:pPr>
        <w:spacing w:line="360" w:lineRule="auto"/>
        <w:ind w:firstLine="480"/>
        <w:rPr>
          <w:rFonts w:ascii="宋体" w:hAnsi="宋体" w:cs="宋体"/>
          <w:sz w:val="24"/>
          <w:szCs w:val="24"/>
        </w:rPr>
      </w:pPr>
      <w:r>
        <w:rPr>
          <w:rFonts w:hint="eastAsia" w:ascii="宋体" w:hAnsi="宋体" w:cs="宋体"/>
          <w:bCs/>
          <w:sz w:val="24"/>
          <w:szCs w:val="24"/>
        </w:rPr>
        <w:t>（9）投标供应商有欺诈行为或隐瞒自身违规问题的，</w:t>
      </w:r>
      <w:r>
        <w:rPr>
          <w:rFonts w:hint="eastAsia" w:ascii="宋体" w:hAnsi="宋体" w:cs="宋体"/>
          <w:sz w:val="24"/>
          <w:szCs w:val="24"/>
        </w:rPr>
        <w:t>提供虚假、伪造、变造、过期资料的；</w:t>
      </w:r>
    </w:p>
    <w:p w14:paraId="4FA48FD3">
      <w:pPr>
        <w:spacing w:line="360" w:lineRule="auto"/>
        <w:ind w:firstLine="480"/>
        <w:rPr>
          <w:rFonts w:ascii="宋体" w:hAnsi="宋体" w:cs="宋体"/>
          <w:bCs/>
          <w:sz w:val="24"/>
          <w:szCs w:val="24"/>
        </w:rPr>
      </w:pPr>
      <w:r>
        <w:rPr>
          <w:rFonts w:hint="eastAsia" w:ascii="宋体" w:hAnsi="宋体" w:cs="宋体"/>
          <w:bCs/>
          <w:sz w:val="24"/>
          <w:szCs w:val="24"/>
        </w:rPr>
        <w:t>（10）不同投标人委托同一个人办理投标事宜的；不同投标人的投标文件载明的项目管理成员为同一人的；不同投标人的投标文件异常一致的</w:t>
      </w:r>
      <w:r>
        <w:rPr>
          <w:rFonts w:hint="eastAsia" w:ascii="宋体" w:hAnsi="宋体" w:cs="宋体"/>
          <w:sz w:val="24"/>
          <w:szCs w:val="24"/>
        </w:rPr>
        <w:t>；</w:t>
      </w:r>
    </w:p>
    <w:p w14:paraId="7FDCA46C">
      <w:pPr>
        <w:spacing w:line="360" w:lineRule="auto"/>
        <w:ind w:firstLine="480" w:firstLineChars="200"/>
        <w:rPr>
          <w:rFonts w:ascii="宋体" w:hAnsi="宋体" w:cs="宋体"/>
          <w:bCs/>
          <w:sz w:val="24"/>
          <w:szCs w:val="24"/>
        </w:rPr>
      </w:pPr>
      <w:r>
        <w:rPr>
          <w:rFonts w:hint="eastAsia" w:ascii="宋体" w:hAnsi="宋体" w:cs="宋体"/>
          <w:bCs/>
          <w:sz w:val="24"/>
          <w:szCs w:val="24"/>
        </w:rPr>
        <w:t>（11）其他法律、法规及本采购文件规定的属无效投标的情形。</w:t>
      </w:r>
    </w:p>
    <w:p w14:paraId="588633AD">
      <w:pPr>
        <w:pStyle w:val="43"/>
        <w:rPr>
          <w:rFonts w:ascii="宋体" w:hAnsi="宋体" w:cs="宋体"/>
        </w:rPr>
      </w:pPr>
      <w:r>
        <w:rPr>
          <w:rFonts w:hint="eastAsia" w:ascii="宋体" w:hAnsi="宋体" w:cs="宋体"/>
          <w:bCs/>
          <w:sz w:val="24"/>
          <w:szCs w:val="24"/>
        </w:rPr>
        <w:t>（12）投标人被“信用中国”网站（www.creditchina.gov.cn）列入失信被执行人或重大税收违法案件当事人名单或政府采购严重失信行为记录名单。</w:t>
      </w:r>
    </w:p>
    <w:p w14:paraId="40A8A5A6">
      <w:pPr>
        <w:spacing w:line="360" w:lineRule="auto"/>
        <w:ind w:firstLine="480" w:firstLineChars="200"/>
        <w:rPr>
          <w:rFonts w:ascii="宋体" w:hAnsi="宋体" w:cs="宋体"/>
          <w:sz w:val="24"/>
          <w:szCs w:val="24"/>
        </w:rPr>
      </w:pPr>
      <w:r>
        <w:rPr>
          <w:rFonts w:hint="eastAsia" w:ascii="宋体" w:hAnsi="宋体" w:cs="宋体"/>
          <w:sz w:val="24"/>
          <w:szCs w:val="24"/>
        </w:rPr>
        <w:t>2.符合下列情形之一者，本采购项目废标：</w:t>
      </w:r>
    </w:p>
    <w:p w14:paraId="7D1AC94B">
      <w:pPr>
        <w:spacing w:line="360" w:lineRule="auto"/>
        <w:ind w:firstLine="480" w:firstLineChars="200"/>
        <w:rPr>
          <w:rFonts w:ascii="宋体" w:hAnsi="宋体" w:cs="宋体"/>
          <w:sz w:val="24"/>
          <w:szCs w:val="24"/>
        </w:rPr>
      </w:pPr>
      <w:r>
        <w:rPr>
          <w:rFonts w:hint="eastAsia" w:ascii="宋体" w:hAnsi="宋体" w:cs="宋体"/>
          <w:sz w:val="24"/>
          <w:szCs w:val="24"/>
        </w:rPr>
        <w:t>⑴</w:t>
      </w:r>
      <w:r>
        <w:rPr>
          <w:rFonts w:hint="eastAsia" w:ascii="宋体" w:hAnsi="宋体" w:cs="宋体"/>
          <w:bCs/>
          <w:sz w:val="24"/>
          <w:szCs w:val="24"/>
        </w:rPr>
        <w:t>出现影响采购公正的违法、违规行为的；</w:t>
      </w:r>
    </w:p>
    <w:p w14:paraId="18F340E1">
      <w:pPr>
        <w:spacing w:line="360" w:lineRule="auto"/>
        <w:ind w:left="479" w:leftChars="228"/>
        <w:rPr>
          <w:rFonts w:ascii="宋体" w:hAnsi="宋体" w:cs="宋体"/>
          <w:bCs/>
          <w:sz w:val="24"/>
          <w:szCs w:val="24"/>
        </w:rPr>
      </w:pPr>
      <w:r>
        <w:rPr>
          <w:rFonts w:hint="eastAsia" w:ascii="宋体" w:hAnsi="宋体" w:cs="宋体"/>
          <w:sz w:val="24"/>
          <w:szCs w:val="24"/>
        </w:rPr>
        <w:t>⑵</w:t>
      </w:r>
      <w:r>
        <w:rPr>
          <w:rFonts w:hint="eastAsia" w:ascii="宋体" w:hAnsi="宋体" w:cs="宋体"/>
          <w:b/>
          <w:bCs/>
          <w:sz w:val="24"/>
        </w:rPr>
        <w:t>经现场报价所有合格投标人的报价均超过采购预算的；</w:t>
      </w:r>
    </w:p>
    <w:p w14:paraId="5631BC11">
      <w:pPr>
        <w:spacing w:line="360" w:lineRule="auto"/>
        <w:ind w:left="479" w:leftChars="228"/>
        <w:rPr>
          <w:rFonts w:ascii="宋体" w:hAnsi="宋体" w:cs="宋体"/>
          <w:bCs/>
          <w:sz w:val="24"/>
          <w:szCs w:val="24"/>
        </w:rPr>
      </w:pPr>
      <w:r>
        <w:rPr>
          <w:rFonts w:hint="eastAsia" w:ascii="宋体" w:hAnsi="宋体" w:cs="宋体"/>
          <w:b/>
          <w:bCs/>
          <w:sz w:val="24"/>
        </w:rPr>
        <w:t>⑶</w:t>
      </w:r>
      <w:r>
        <w:rPr>
          <w:rFonts w:hint="eastAsia" w:ascii="宋体" w:hAnsi="宋体" w:cs="宋体"/>
          <w:bCs/>
          <w:sz w:val="24"/>
          <w:szCs w:val="24"/>
        </w:rPr>
        <w:t>因重大变故，采购任务取消的。</w:t>
      </w:r>
    </w:p>
    <w:p w14:paraId="4EB32EDF">
      <w:pPr>
        <w:adjustRightInd w:val="0"/>
        <w:snapToGrid w:val="0"/>
        <w:spacing w:line="440" w:lineRule="exact"/>
        <w:ind w:firstLine="480" w:firstLineChars="200"/>
        <w:rPr>
          <w:rFonts w:ascii="宋体" w:hAnsi="宋体" w:cs="宋体"/>
          <w:sz w:val="24"/>
        </w:rPr>
      </w:pPr>
      <w:r>
        <w:rPr>
          <w:rFonts w:hint="eastAsia" w:ascii="宋体" w:hAnsi="宋体" w:cs="宋体"/>
          <w:sz w:val="24"/>
        </w:rPr>
        <w:t>3. 变更为其他方式采购的情形</w:t>
      </w:r>
    </w:p>
    <w:p w14:paraId="533D1303">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提交投标文件截止时间时参加谈判的供应商不足3家的，及谈判中出现符合专业条件的供应商或对谈判文件作实质响应的供应商不足3家，采购人可视情采取其他方式继续组织采购。谈判文件中对供应商资质、技术等要求，将作为其他方式采购的基本要求和依据。原已经参加谈判并符合要求的供应商，根据自愿原则，参加其他方式采购。  </w:t>
      </w:r>
    </w:p>
    <w:p w14:paraId="65E257BF">
      <w:pPr>
        <w:spacing w:line="360" w:lineRule="auto"/>
        <w:ind w:left="227"/>
        <w:rPr>
          <w:rFonts w:ascii="宋体" w:hAnsi="宋体" w:cs="宋体"/>
          <w:b/>
          <w:sz w:val="24"/>
          <w:szCs w:val="24"/>
        </w:rPr>
      </w:pPr>
      <w:r>
        <w:rPr>
          <w:rFonts w:hint="eastAsia" w:ascii="宋体" w:hAnsi="宋体" w:cs="宋体"/>
          <w:b/>
          <w:sz w:val="24"/>
          <w:szCs w:val="24"/>
        </w:rPr>
        <w:t>六、谈判报价要求</w:t>
      </w:r>
    </w:p>
    <w:p w14:paraId="2BA11209">
      <w:pPr>
        <w:spacing w:line="360" w:lineRule="auto"/>
        <w:ind w:firstLine="480" w:firstLineChars="200"/>
        <w:rPr>
          <w:rFonts w:ascii="宋体" w:hAnsi="宋体" w:cs="宋体"/>
          <w:sz w:val="24"/>
          <w:szCs w:val="24"/>
        </w:rPr>
      </w:pPr>
      <w:r>
        <w:rPr>
          <w:rFonts w:hint="eastAsia" w:ascii="宋体" w:hAnsi="宋体" w:cs="宋体"/>
          <w:sz w:val="24"/>
          <w:szCs w:val="24"/>
        </w:rPr>
        <w:t>1．投标人法定代表人或其授权委托人必须按时到采购人指定地点递交投标文件，并参加现场谈判和报价。投标供应商法定代表人或其授权委托人在谈判采购过程中签署的文件、资料（含澄清、承诺、报价等）均作为投标文件的组成部分，具有法律效力。</w:t>
      </w:r>
    </w:p>
    <w:p w14:paraId="7F7CE3E0">
      <w:pPr>
        <w:spacing w:line="360" w:lineRule="auto"/>
        <w:ind w:firstLine="480" w:firstLineChars="200"/>
        <w:rPr>
          <w:rFonts w:ascii="宋体" w:hAnsi="宋体" w:cs="宋体"/>
          <w:sz w:val="24"/>
          <w:szCs w:val="24"/>
        </w:rPr>
      </w:pPr>
      <w:r>
        <w:rPr>
          <w:rFonts w:hint="eastAsia" w:ascii="宋体" w:hAnsi="宋体" w:cs="宋体"/>
          <w:sz w:val="24"/>
          <w:szCs w:val="24"/>
        </w:rPr>
        <w:t>2. 投标文件和投标人法定代表人或其授权委托人签署的文件、资料的有效期为自开标之日起60个日历日。</w:t>
      </w:r>
    </w:p>
    <w:p w14:paraId="4732023F">
      <w:pPr>
        <w:spacing w:line="360" w:lineRule="auto"/>
        <w:ind w:firstLine="480" w:firstLineChars="200"/>
        <w:rPr>
          <w:rFonts w:ascii="宋体" w:hAnsi="宋体" w:cs="宋体"/>
          <w:sz w:val="24"/>
          <w:szCs w:val="24"/>
        </w:rPr>
      </w:pPr>
      <w:r>
        <w:rPr>
          <w:rFonts w:hint="eastAsia" w:ascii="宋体" w:hAnsi="宋体" w:cs="宋体"/>
          <w:sz w:val="24"/>
          <w:szCs w:val="24"/>
        </w:rPr>
        <w:t>3. 投标文件中的报价非最终投标价。投标人法定代表人或其授权委托人在现场谈判中作出的最终现场报价为有效投标报价。</w:t>
      </w:r>
    </w:p>
    <w:p w14:paraId="785E36A1">
      <w:pPr>
        <w:spacing w:line="360" w:lineRule="auto"/>
        <w:ind w:firstLine="480" w:firstLineChars="200"/>
        <w:rPr>
          <w:rFonts w:ascii="宋体" w:hAnsi="宋体" w:cs="宋体"/>
          <w:bCs/>
          <w:sz w:val="24"/>
        </w:rPr>
      </w:pPr>
      <w:r>
        <w:rPr>
          <w:rFonts w:hint="eastAsia" w:ascii="宋体" w:hAnsi="宋体" w:cs="宋体"/>
          <w:bCs/>
          <w:sz w:val="24"/>
        </w:rPr>
        <w:t>4. 本采购项目谈判小组不接受不完整的投标报价。投标人法定代表人或其授权委托人必须对所有项目分别报单价，并合计总价。</w:t>
      </w:r>
    </w:p>
    <w:p w14:paraId="36B178F7">
      <w:pPr>
        <w:spacing w:line="360" w:lineRule="auto"/>
        <w:ind w:firstLine="480" w:firstLineChars="200"/>
        <w:rPr>
          <w:rFonts w:ascii="宋体" w:hAnsi="宋体" w:cs="宋体"/>
          <w:sz w:val="24"/>
          <w:szCs w:val="24"/>
        </w:rPr>
      </w:pPr>
      <w:r>
        <w:rPr>
          <w:rFonts w:hint="eastAsia" w:ascii="宋体" w:hAnsi="宋体" w:cs="宋体"/>
          <w:sz w:val="24"/>
          <w:szCs w:val="24"/>
        </w:rPr>
        <w:t>5．投标供应商应在完全满足采购需求的条件下，对采购项目进行报价。不能完全响应采购文件的实质性要求和条件的将按无效投标处理。</w:t>
      </w:r>
    </w:p>
    <w:p w14:paraId="0125F6A7">
      <w:pPr>
        <w:spacing w:line="360" w:lineRule="auto"/>
        <w:ind w:firstLine="480" w:firstLineChars="200"/>
        <w:rPr>
          <w:rFonts w:ascii="宋体" w:hAnsi="宋体" w:cs="宋体"/>
          <w:bCs/>
          <w:sz w:val="24"/>
        </w:rPr>
      </w:pPr>
      <w:r>
        <w:rPr>
          <w:rFonts w:hint="eastAsia" w:ascii="宋体" w:hAnsi="宋体" w:cs="宋体"/>
          <w:bCs/>
          <w:sz w:val="24"/>
        </w:rPr>
        <w:t>6．</w:t>
      </w:r>
      <w:r>
        <w:rPr>
          <w:rFonts w:hint="eastAsia" w:ascii="宋体" w:hAnsi="宋体" w:cs="宋体"/>
          <w:b/>
          <w:bCs/>
          <w:sz w:val="24"/>
          <w:szCs w:val="24"/>
        </w:rPr>
        <w:t>采购报价采用总承包方式</w:t>
      </w:r>
      <w:r>
        <w:rPr>
          <w:rFonts w:hint="eastAsia" w:ascii="宋体" w:hAnsi="宋体" w:cs="宋体"/>
          <w:b/>
          <w:sz w:val="24"/>
          <w:szCs w:val="24"/>
        </w:rPr>
        <w:t>，因此投标供应商的报价应</w:t>
      </w:r>
      <w:r>
        <w:rPr>
          <w:rFonts w:hint="eastAsia" w:ascii="宋体" w:hAnsi="宋体" w:cs="宋体"/>
          <w:b/>
          <w:sz w:val="24"/>
        </w:rPr>
        <w:t>包括安装、调试、人员培训及售后服务、技术支持服务、技术培训直到用户能独立操作和使用、一切税费及招标代理费等采购文件要求的所有费用，及其他有关的为完成本项目发生的所有费用，</w:t>
      </w:r>
      <w:r>
        <w:rPr>
          <w:rFonts w:hint="eastAsia" w:ascii="宋体" w:hAnsi="宋体" w:cs="宋体"/>
          <w:b/>
          <w:bCs/>
          <w:sz w:val="24"/>
          <w:szCs w:val="24"/>
        </w:rPr>
        <w:t>同时，报价也应包含合同履行过程中可能发生的各项风险。服务期内投标供应商须将所有设备维护完好，按照采购人要求进行日常维护和管理，保证设备的正常使用。</w:t>
      </w:r>
    </w:p>
    <w:p w14:paraId="7F65A1BC">
      <w:pPr>
        <w:spacing w:line="360" w:lineRule="auto"/>
        <w:ind w:firstLine="480" w:firstLineChars="200"/>
        <w:rPr>
          <w:rFonts w:ascii="宋体" w:hAnsi="宋体" w:cs="宋体"/>
          <w:sz w:val="24"/>
          <w:szCs w:val="24"/>
        </w:rPr>
      </w:pPr>
      <w:r>
        <w:rPr>
          <w:rFonts w:hint="eastAsia" w:ascii="宋体" w:hAnsi="宋体" w:cs="宋体"/>
          <w:sz w:val="24"/>
          <w:szCs w:val="24"/>
        </w:rPr>
        <w:t>7. 报价应书写端正、字迹清楚，不得涂改，涂改无效。谈判小组不接受不完整或不正确的报价。谈判小组有权将未按规定填写的报价单视为无效报价。</w:t>
      </w:r>
    </w:p>
    <w:p w14:paraId="38B6AFED">
      <w:pPr>
        <w:spacing w:line="360" w:lineRule="auto"/>
        <w:ind w:firstLine="480" w:firstLineChars="200"/>
        <w:rPr>
          <w:rFonts w:ascii="宋体" w:hAnsi="宋体" w:cs="宋体"/>
          <w:sz w:val="24"/>
          <w:szCs w:val="24"/>
        </w:rPr>
      </w:pPr>
      <w:r>
        <w:rPr>
          <w:rFonts w:hint="eastAsia" w:ascii="宋体" w:hAnsi="宋体" w:cs="宋体"/>
          <w:sz w:val="24"/>
          <w:szCs w:val="24"/>
        </w:rPr>
        <w:t>8.谈判小组可以允许修正投标文件中不构成重大偏离的、微小的、非正规的、不一致的或不规则的地方。</w:t>
      </w:r>
    </w:p>
    <w:p w14:paraId="688AB89C">
      <w:pPr>
        <w:spacing w:line="360" w:lineRule="auto"/>
        <w:ind w:firstLine="480" w:firstLineChars="200"/>
        <w:rPr>
          <w:rFonts w:ascii="宋体" w:hAnsi="宋体" w:cs="宋体"/>
          <w:sz w:val="24"/>
          <w:szCs w:val="24"/>
        </w:rPr>
      </w:pPr>
      <w:r>
        <w:rPr>
          <w:rFonts w:hint="eastAsia" w:ascii="宋体" w:hAnsi="宋体" w:cs="宋体"/>
          <w:sz w:val="24"/>
          <w:szCs w:val="24"/>
        </w:rPr>
        <w:t>9. 为有助于对投标文件的审查、评价和比较，谈判小组有权要求供应商对其投标文件进行澄清。参加谈判的供应商应当以书面形式对谈判中做出的承诺与澄清进行确认，并在谈判小组规定的时间内完成书面报价（最终总报价或可能的中间报价）。谈判承诺及书面报价均须由法定代表人或其委托代理人签字确认。</w:t>
      </w:r>
    </w:p>
    <w:p w14:paraId="0891405F">
      <w:pPr>
        <w:spacing w:line="360" w:lineRule="auto"/>
        <w:ind w:firstLine="480" w:firstLineChars="200"/>
        <w:rPr>
          <w:rFonts w:ascii="宋体" w:hAnsi="宋体" w:cs="宋体"/>
          <w:sz w:val="24"/>
          <w:szCs w:val="24"/>
        </w:rPr>
      </w:pPr>
      <w:r>
        <w:rPr>
          <w:rFonts w:hint="eastAsia" w:ascii="宋体" w:hAnsi="宋体" w:cs="宋体"/>
          <w:sz w:val="24"/>
          <w:szCs w:val="24"/>
        </w:rPr>
        <w:t>10.在谈判中，谈判的任何一方不得透露与谈判有关的其他供应商的技术资料、价格和其他信息。谈判文件有实质性变动的，谈判小组会以书面形式通知所有参加谈判的供应商。</w:t>
      </w:r>
    </w:p>
    <w:p w14:paraId="27D4BEE9">
      <w:pPr>
        <w:spacing w:line="360" w:lineRule="auto"/>
        <w:ind w:firstLine="480" w:firstLineChars="200"/>
        <w:rPr>
          <w:rFonts w:ascii="宋体" w:hAnsi="宋体" w:cs="宋体"/>
          <w:sz w:val="24"/>
          <w:szCs w:val="24"/>
        </w:rPr>
      </w:pPr>
      <w:r>
        <w:rPr>
          <w:rFonts w:hint="eastAsia" w:ascii="宋体" w:hAnsi="宋体" w:cs="宋体"/>
          <w:sz w:val="24"/>
          <w:szCs w:val="24"/>
        </w:rPr>
        <w:t>11. 供应商最终总报价在项目总量没有增加，服务没有重大提高的情况下，不允许高于第一次报价（即投标文件报价表中的报价）。否则，谈判小组有权拒绝该谈判报价并不再给予报价补救机会。</w:t>
      </w:r>
    </w:p>
    <w:p w14:paraId="6830FAC3">
      <w:pPr>
        <w:spacing w:line="360" w:lineRule="auto"/>
        <w:ind w:firstLine="480" w:firstLineChars="200"/>
        <w:rPr>
          <w:rFonts w:ascii="宋体" w:hAnsi="宋体" w:cs="宋体"/>
          <w:sz w:val="24"/>
          <w:szCs w:val="24"/>
        </w:rPr>
      </w:pPr>
      <w:r>
        <w:rPr>
          <w:rFonts w:hint="eastAsia" w:ascii="宋体" w:hAnsi="宋体" w:cs="宋体"/>
          <w:sz w:val="24"/>
          <w:szCs w:val="24"/>
        </w:rPr>
        <w:t>12.各供应商最终报价结束后,如谈判小组认为最终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终总报价次低的供应商递补，以此类推。</w:t>
      </w:r>
    </w:p>
    <w:p w14:paraId="66EBDB07">
      <w:pPr>
        <w:spacing w:line="360" w:lineRule="auto"/>
        <w:ind w:firstLine="480" w:firstLineChars="200"/>
        <w:rPr>
          <w:rFonts w:ascii="宋体" w:hAnsi="宋体" w:cs="宋体"/>
        </w:rPr>
      </w:pPr>
      <w:r>
        <w:rPr>
          <w:rFonts w:hint="eastAsia" w:ascii="宋体" w:hAnsi="宋体" w:cs="宋体"/>
          <w:bCs/>
          <w:sz w:val="24"/>
          <w:szCs w:val="24"/>
        </w:rPr>
        <w:t>13.投标供应商应委派技术人员参加现场谈判，如无相关技术人员到场，后果自行负责。</w:t>
      </w:r>
    </w:p>
    <w:p w14:paraId="7D348845">
      <w:pPr>
        <w:spacing w:line="360" w:lineRule="auto"/>
        <w:ind w:left="227"/>
        <w:rPr>
          <w:rFonts w:ascii="宋体" w:hAnsi="宋体" w:cs="宋体"/>
          <w:b/>
          <w:sz w:val="24"/>
          <w:szCs w:val="24"/>
        </w:rPr>
      </w:pPr>
      <w:r>
        <w:rPr>
          <w:rFonts w:hint="eastAsia" w:ascii="宋体" w:hAnsi="宋体" w:cs="宋体"/>
          <w:b/>
          <w:sz w:val="24"/>
          <w:szCs w:val="24"/>
        </w:rPr>
        <w:t>七、投标要求</w:t>
      </w:r>
    </w:p>
    <w:p w14:paraId="514191AC">
      <w:pPr>
        <w:spacing w:line="360" w:lineRule="auto"/>
        <w:ind w:firstLine="480" w:firstLineChars="200"/>
        <w:rPr>
          <w:rFonts w:ascii="宋体" w:hAnsi="宋体" w:cs="宋体"/>
          <w:sz w:val="24"/>
          <w:szCs w:val="24"/>
        </w:rPr>
      </w:pPr>
      <w:r>
        <w:rPr>
          <w:rFonts w:hint="eastAsia" w:ascii="宋体" w:hAnsi="宋体" w:cs="宋体"/>
          <w:sz w:val="24"/>
          <w:szCs w:val="24"/>
        </w:rPr>
        <w:t>1. 投标文件：投标供应商必须按照本采购文件要求制作投标文件，投标文件内容见“第四章 投标文件格式”。</w:t>
      </w:r>
    </w:p>
    <w:p w14:paraId="33C64610">
      <w:pPr>
        <w:spacing w:line="360" w:lineRule="auto"/>
        <w:ind w:firstLine="480"/>
        <w:rPr>
          <w:rFonts w:ascii="宋体" w:hAnsi="宋体" w:cs="宋体"/>
          <w:sz w:val="24"/>
          <w:szCs w:val="24"/>
        </w:rPr>
      </w:pPr>
      <w:r>
        <w:rPr>
          <w:rFonts w:hint="eastAsia" w:ascii="宋体" w:hAnsi="宋体" w:cs="宋体"/>
          <w:b/>
          <w:sz w:val="24"/>
        </w:rPr>
        <w:t>2、</w:t>
      </w:r>
      <w:r>
        <w:rPr>
          <w:rFonts w:hint="eastAsia" w:ascii="宋体" w:hAnsi="宋体" w:cs="宋体"/>
          <w:sz w:val="24"/>
          <w:szCs w:val="24"/>
        </w:rPr>
        <w:t>存在下列情形之一的，按采购文件及《政府采购法》等相关法律法规给予处罚：</w:t>
      </w:r>
    </w:p>
    <w:p w14:paraId="5424EEBF">
      <w:pPr>
        <w:spacing w:line="360" w:lineRule="auto"/>
        <w:ind w:firstLine="480" w:firstLineChars="200"/>
        <w:rPr>
          <w:rFonts w:ascii="宋体" w:hAnsi="宋体" w:cs="宋体"/>
          <w:sz w:val="24"/>
          <w:szCs w:val="24"/>
        </w:rPr>
      </w:pPr>
      <w:r>
        <w:rPr>
          <w:rFonts w:hint="eastAsia" w:ascii="宋体" w:hAnsi="宋体" w:cs="宋体"/>
          <w:sz w:val="24"/>
          <w:szCs w:val="24"/>
        </w:rPr>
        <w:t>（1）供应商在谈判有效期内撤回其投标文件的；</w:t>
      </w:r>
    </w:p>
    <w:p w14:paraId="6B827F89">
      <w:pPr>
        <w:pStyle w:val="2"/>
        <w:spacing w:line="360" w:lineRule="auto"/>
        <w:rPr>
          <w:rFonts w:ascii="宋体" w:hAnsi="宋体" w:cs="宋体"/>
        </w:rPr>
      </w:pPr>
      <w:r>
        <w:rPr>
          <w:rFonts w:hint="eastAsia" w:ascii="宋体" w:hAnsi="宋体" w:cs="宋体"/>
          <w:sz w:val="24"/>
        </w:rPr>
        <w:t xml:space="preserve">    （2）中标供应商放弃中标资格的；</w:t>
      </w:r>
    </w:p>
    <w:p w14:paraId="22FDD4CE">
      <w:pPr>
        <w:spacing w:line="360" w:lineRule="auto"/>
        <w:ind w:firstLine="480" w:firstLineChars="200"/>
        <w:rPr>
          <w:rFonts w:ascii="宋体" w:hAnsi="宋体" w:cs="宋体"/>
          <w:sz w:val="24"/>
          <w:szCs w:val="24"/>
        </w:rPr>
      </w:pPr>
      <w:r>
        <w:rPr>
          <w:rFonts w:hint="eastAsia" w:ascii="宋体" w:hAnsi="宋体" w:cs="宋体"/>
          <w:sz w:val="24"/>
          <w:szCs w:val="24"/>
        </w:rPr>
        <w:t>（3）供应商提供的有关资料、资格证明文件被确认是不真实的；</w:t>
      </w:r>
    </w:p>
    <w:p w14:paraId="15CC358A">
      <w:pPr>
        <w:spacing w:line="360" w:lineRule="auto"/>
        <w:ind w:firstLine="480" w:firstLineChars="200"/>
        <w:rPr>
          <w:rFonts w:ascii="宋体" w:hAnsi="宋体" w:cs="宋体"/>
          <w:sz w:val="24"/>
          <w:szCs w:val="24"/>
        </w:rPr>
      </w:pPr>
      <w:r>
        <w:rPr>
          <w:rFonts w:hint="eastAsia" w:ascii="宋体" w:hAnsi="宋体" w:cs="宋体"/>
          <w:sz w:val="24"/>
          <w:szCs w:val="24"/>
        </w:rPr>
        <w:t>（4）供应商之间被证实有串通（统一哄抬价格）、欺诈行为；</w:t>
      </w:r>
    </w:p>
    <w:p w14:paraId="3248EA64">
      <w:pPr>
        <w:spacing w:line="360" w:lineRule="auto"/>
        <w:ind w:firstLine="480" w:firstLineChars="200"/>
        <w:rPr>
          <w:rFonts w:ascii="宋体" w:hAnsi="宋体" w:cs="宋体"/>
          <w:sz w:val="24"/>
          <w:szCs w:val="24"/>
        </w:rPr>
      </w:pPr>
      <w:r>
        <w:rPr>
          <w:rFonts w:hint="eastAsia" w:ascii="宋体" w:hAnsi="宋体" w:cs="宋体"/>
          <w:sz w:val="24"/>
          <w:szCs w:val="24"/>
        </w:rPr>
        <w:t>（5）供应商被证明有妨碍其他人公平竞争、损害交易中心或者其他供应商合法权益的；</w:t>
      </w:r>
    </w:p>
    <w:p w14:paraId="20AC0F2A">
      <w:pPr>
        <w:spacing w:line="360" w:lineRule="auto"/>
        <w:ind w:firstLine="480" w:firstLineChars="200"/>
        <w:rPr>
          <w:rFonts w:ascii="宋体" w:hAnsi="宋体" w:cs="宋体"/>
          <w:sz w:val="24"/>
          <w:szCs w:val="24"/>
        </w:rPr>
      </w:pPr>
      <w:r>
        <w:rPr>
          <w:rFonts w:hint="eastAsia" w:ascii="宋体" w:hAnsi="宋体" w:cs="宋体"/>
          <w:sz w:val="24"/>
          <w:szCs w:val="24"/>
        </w:rPr>
        <w:t>（6）供应商与谈判专家、采购人相关工作人员恶意串通，或向谈判专家、采购人相关工作人员行贿或者提供其他不正当利益的；</w:t>
      </w:r>
    </w:p>
    <w:p w14:paraId="76FE6E1E">
      <w:pPr>
        <w:spacing w:line="360" w:lineRule="auto"/>
        <w:ind w:firstLine="480" w:firstLineChars="200"/>
        <w:rPr>
          <w:rFonts w:ascii="宋体" w:hAnsi="宋体" w:cs="宋体"/>
          <w:sz w:val="24"/>
          <w:szCs w:val="24"/>
        </w:rPr>
      </w:pPr>
      <w:r>
        <w:rPr>
          <w:rFonts w:hint="eastAsia" w:ascii="宋体" w:hAnsi="宋体" w:cs="宋体"/>
          <w:sz w:val="24"/>
          <w:szCs w:val="24"/>
        </w:rPr>
        <w:t xml:space="preserve">（7）成交供应商在规定期限内未能根据规定签订合同的；  </w:t>
      </w:r>
    </w:p>
    <w:p w14:paraId="2440B098">
      <w:pPr>
        <w:spacing w:line="360" w:lineRule="auto"/>
        <w:ind w:firstLine="480" w:firstLineChars="200"/>
        <w:rPr>
          <w:rFonts w:ascii="宋体" w:hAnsi="宋体" w:cs="宋体"/>
          <w:sz w:val="24"/>
          <w:szCs w:val="24"/>
        </w:rPr>
      </w:pPr>
      <w:r>
        <w:rPr>
          <w:rFonts w:hint="eastAsia" w:ascii="宋体" w:hAnsi="宋体" w:cs="宋体"/>
          <w:sz w:val="24"/>
          <w:szCs w:val="24"/>
        </w:rPr>
        <w:t>（8）供应商有其他违反本采购文件及《政府采购法》等相关法律法规的行为的。</w:t>
      </w:r>
    </w:p>
    <w:p w14:paraId="12876FDE">
      <w:pPr>
        <w:spacing w:line="360" w:lineRule="auto"/>
        <w:ind w:firstLine="480" w:firstLineChars="200"/>
        <w:rPr>
          <w:rFonts w:ascii="宋体" w:hAnsi="宋体" w:cs="宋体"/>
          <w:b/>
          <w:sz w:val="24"/>
          <w:szCs w:val="24"/>
        </w:rPr>
      </w:pPr>
      <w:r>
        <w:rPr>
          <w:rFonts w:hint="eastAsia" w:ascii="宋体" w:hAnsi="宋体" w:cs="宋体"/>
          <w:sz w:val="24"/>
          <w:szCs w:val="24"/>
        </w:rPr>
        <w:t>5．</w:t>
      </w:r>
      <w:r>
        <w:rPr>
          <w:rFonts w:hint="eastAsia" w:ascii="宋体" w:hAnsi="宋体" w:cs="宋体"/>
          <w:b/>
          <w:sz w:val="24"/>
          <w:szCs w:val="24"/>
        </w:rPr>
        <w:t>投标截止时间：</w:t>
      </w:r>
      <w:r>
        <w:rPr>
          <w:rFonts w:hint="eastAsia" w:ascii="宋体" w:hAnsi="宋体" w:cs="宋体"/>
          <w:b/>
          <w:kern w:val="0"/>
          <w:sz w:val="24"/>
          <w:szCs w:val="24"/>
          <w:u w:val="single"/>
        </w:rPr>
        <w:t>详见电子邮件</w:t>
      </w:r>
    </w:p>
    <w:p w14:paraId="4B587E53">
      <w:pPr>
        <w:spacing w:line="360" w:lineRule="auto"/>
        <w:ind w:firstLine="480" w:firstLineChars="200"/>
        <w:rPr>
          <w:rFonts w:ascii="宋体" w:hAnsi="宋体" w:cs="宋体"/>
          <w:sz w:val="24"/>
          <w:szCs w:val="24"/>
        </w:rPr>
      </w:pPr>
      <w:r>
        <w:rPr>
          <w:rFonts w:hint="eastAsia" w:ascii="宋体" w:hAnsi="宋体" w:cs="宋体"/>
          <w:sz w:val="24"/>
          <w:szCs w:val="24"/>
        </w:rPr>
        <w:t xml:space="preserve"> ⑴采购人可以按照规定，通过修改采购文件有权酌情延长投标文件接收截止时间，在此情况下，供应商的所有权利和义务以及供应商受制的截止日期均应以延长后新的截止日期为准。</w:t>
      </w:r>
    </w:p>
    <w:p w14:paraId="6CCC75D9">
      <w:pPr>
        <w:spacing w:line="360" w:lineRule="auto"/>
        <w:ind w:firstLine="600" w:firstLineChars="250"/>
        <w:rPr>
          <w:rFonts w:ascii="宋体" w:hAnsi="宋体" w:cs="宋体"/>
          <w:sz w:val="24"/>
          <w:szCs w:val="24"/>
        </w:rPr>
      </w:pPr>
      <w:r>
        <w:rPr>
          <w:rFonts w:hint="eastAsia" w:ascii="宋体" w:hAnsi="宋体" w:cs="宋体"/>
          <w:sz w:val="24"/>
          <w:szCs w:val="24"/>
        </w:rPr>
        <w:t>⑵采购人将拒绝并原封退回在其规定的投标文件接收截止时间后收到的任何投标文件。</w:t>
      </w:r>
    </w:p>
    <w:p w14:paraId="56309C8D">
      <w:pPr>
        <w:numPr>
          <w:ilvl w:val="0"/>
          <w:numId w:val="9"/>
        </w:numPr>
        <w:spacing w:line="360" w:lineRule="auto"/>
        <w:ind w:firstLine="480" w:firstLineChars="200"/>
        <w:rPr>
          <w:rFonts w:ascii="宋体" w:hAnsi="宋体" w:cs="宋体"/>
          <w:bCs/>
          <w:sz w:val="24"/>
          <w:szCs w:val="24"/>
        </w:rPr>
      </w:pPr>
      <w:r>
        <w:rPr>
          <w:rFonts w:hint="eastAsia" w:ascii="宋体" w:hAnsi="宋体" w:cs="宋体"/>
          <w:bCs/>
          <w:sz w:val="24"/>
          <w:szCs w:val="24"/>
        </w:rPr>
        <w:t>投标文件递交时间：</w:t>
      </w:r>
      <w:r>
        <w:rPr>
          <w:rFonts w:hint="eastAsia" w:ascii="宋体" w:hAnsi="宋体" w:cs="宋体"/>
          <w:b/>
          <w:sz w:val="24"/>
          <w:szCs w:val="24"/>
          <w:u w:val="single"/>
        </w:rPr>
        <w:t>详见电子邮件</w:t>
      </w:r>
      <w:r>
        <w:rPr>
          <w:rFonts w:hint="eastAsia" w:ascii="宋体" w:hAnsi="宋体" w:cs="宋体"/>
          <w:b/>
          <w:sz w:val="24"/>
          <w:szCs w:val="24"/>
        </w:rPr>
        <w:t>。</w:t>
      </w:r>
    </w:p>
    <w:p w14:paraId="7D3C8B5D">
      <w:pPr>
        <w:numPr>
          <w:ilvl w:val="0"/>
          <w:numId w:val="9"/>
        </w:numPr>
        <w:spacing w:line="360" w:lineRule="auto"/>
        <w:ind w:firstLine="480" w:firstLineChars="200"/>
        <w:rPr>
          <w:rFonts w:ascii="宋体" w:hAnsi="宋体" w:cs="宋体"/>
          <w:bCs/>
          <w:sz w:val="24"/>
          <w:szCs w:val="24"/>
        </w:rPr>
      </w:pPr>
      <w:r>
        <w:rPr>
          <w:rFonts w:hint="eastAsia" w:ascii="宋体" w:hAnsi="宋体" w:cs="宋体"/>
          <w:bCs/>
          <w:sz w:val="24"/>
          <w:szCs w:val="24"/>
        </w:rPr>
        <w:t>投标文件递交地点：如东县中医院十六楼会议室。（如东县掘港镇淮河路66号)</w:t>
      </w:r>
    </w:p>
    <w:p w14:paraId="4BE459DD">
      <w:pPr>
        <w:spacing w:line="360" w:lineRule="auto"/>
        <w:ind w:firstLine="480" w:firstLineChars="200"/>
        <w:rPr>
          <w:rFonts w:ascii="宋体" w:hAnsi="宋体" w:cs="宋体"/>
          <w:sz w:val="24"/>
          <w:szCs w:val="24"/>
        </w:rPr>
      </w:pPr>
      <w:r>
        <w:rPr>
          <w:rFonts w:hint="eastAsia" w:ascii="宋体" w:hAnsi="宋体" w:cs="宋体"/>
          <w:sz w:val="24"/>
          <w:szCs w:val="24"/>
        </w:rPr>
        <w:t>7.投标文件必须由投标人法定代表人或其授权委托人递交。</w:t>
      </w:r>
    </w:p>
    <w:p w14:paraId="31C20B02">
      <w:pPr>
        <w:spacing w:line="360" w:lineRule="auto"/>
        <w:ind w:left="360"/>
        <w:rPr>
          <w:rFonts w:ascii="宋体" w:hAnsi="宋体" w:cs="宋体"/>
          <w:b/>
          <w:sz w:val="24"/>
          <w:szCs w:val="24"/>
        </w:rPr>
      </w:pPr>
      <w:r>
        <w:rPr>
          <w:rFonts w:hint="eastAsia" w:ascii="宋体" w:hAnsi="宋体" w:cs="宋体"/>
          <w:b/>
          <w:sz w:val="24"/>
          <w:szCs w:val="24"/>
        </w:rPr>
        <w:t>七、验收及付款方式</w:t>
      </w:r>
    </w:p>
    <w:p w14:paraId="63EDFE11">
      <w:pPr>
        <w:spacing w:line="520" w:lineRule="exact"/>
        <w:ind w:firstLine="600" w:firstLineChars="250"/>
        <w:rPr>
          <w:rFonts w:ascii="宋体" w:hAnsi="宋体" w:cs="宋体"/>
          <w:sz w:val="24"/>
          <w:szCs w:val="24"/>
        </w:rPr>
      </w:pPr>
      <w:r>
        <w:rPr>
          <w:rFonts w:hint="eastAsia" w:ascii="宋体" w:hAnsi="宋体" w:cs="宋体"/>
          <w:sz w:val="24"/>
          <w:szCs w:val="24"/>
        </w:rPr>
        <w:t>1.验收：成交供应商供货后由采购人按规定组织验收并签发验收单。如供需双方在合同有效期内对本项目质量问题发生争议，以有权鉴定部门出具的质量鉴定结果为准。</w:t>
      </w:r>
    </w:p>
    <w:p w14:paraId="10062ABB">
      <w:pPr>
        <w:spacing w:line="420" w:lineRule="exact"/>
        <w:ind w:firstLine="480" w:firstLineChars="200"/>
        <w:rPr>
          <w:rFonts w:ascii="宋体" w:hAnsi="宋体" w:cs="宋体"/>
          <w:sz w:val="24"/>
          <w:szCs w:val="24"/>
        </w:rPr>
      </w:pPr>
      <w:r>
        <w:rPr>
          <w:rFonts w:hint="eastAsia" w:ascii="宋体" w:hAnsi="宋体" w:cs="宋体"/>
          <w:sz w:val="24"/>
          <w:szCs w:val="24"/>
        </w:rPr>
        <w:t>2.付款：成交供应商凭采购合同、验收单（经验收合格）及正式发票按规定进行资金结算。</w:t>
      </w:r>
    </w:p>
    <w:p w14:paraId="23AE350B">
      <w:pPr>
        <w:spacing w:line="520" w:lineRule="exact"/>
        <w:ind w:firstLine="602" w:firstLineChars="250"/>
        <w:rPr>
          <w:rFonts w:ascii="宋体" w:hAnsi="宋体" w:cs="宋体"/>
          <w:b/>
          <w:sz w:val="24"/>
          <w:szCs w:val="24"/>
        </w:rPr>
      </w:pPr>
      <w:r>
        <w:rPr>
          <w:rFonts w:hint="eastAsia" w:ascii="宋体" w:hAnsi="宋体" w:cs="宋体"/>
          <w:b/>
          <w:sz w:val="24"/>
          <w:szCs w:val="24"/>
        </w:rPr>
        <w:t>八、其它说明</w:t>
      </w:r>
    </w:p>
    <w:p w14:paraId="0E97D989">
      <w:pPr>
        <w:spacing w:line="360" w:lineRule="auto"/>
        <w:ind w:left="1" w:firstLine="480" w:firstLineChars="200"/>
        <w:rPr>
          <w:rFonts w:ascii="宋体" w:hAnsi="宋体" w:cs="宋体"/>
          <w:sz w:val="24"/>
          <w:szCs w:val="24"/>
        </w:rPr>
      </w:pPr>
      <w:r>
        <w:rPr>
          <w:rFonts w:hint="eastAsia" w:ascii="宋体" w:hAnsi="宋体" w:cs="宋体"/>
          <w:sz w:val="24"/>
          <w:szCs w:val="24"/>
        </w:rPr>
        <w:t>1.无论本次采购的过程和结果如何，投标人自行承担所有与本次采购有关的全部费用。</w:t>
      </w:r>
    </w:p>
    <w:p w14:paraId="59D73DA9">
      <w:pPr>
        <w:spacing w:line="360" w:lineRule="auto"/>
        <w:ind w:left="1" w:firstLine="480" w:firstLineChars="200"/>
        <w:rPr>
          <w:rFonts w:ascii="宋体" w:hAnsi="宋体" w:cs="宋体"/>
          <w:sz w:val="24"/>
          <w:szCs w:val="24"/>
        </w:rPr>
      </w:pPr>
      <w:r>
        <w:rPr>
          <w:rFonts w:hint="eastAsia" w:ascii="宋体" w:hAnsi="宋体" w:cs="宋体"/>
          <w:sz w:val="24"/>
          <w:szCs w:val="24"/>
        </w:rPr>
        <w:t>2.投标人如对本采购文件中的采购需求（包括详细方案、技术参数、技术需求和服务要求、供应商资格条件等）有疑问或不明之处，可与采购人联系。采购人对采购项目的采购需求有解释权。在采购过程中如出现投标人针对本项目采购需求提出质疑、疑问，由采购人负责并书面答复。采购单位联系人：陈哲，联系电话：13606272766。</w:t>
      </w:r>
    </w:p>
    <w:p w14:paraId="20C54291">
      <w:pPr>
        <w:pStyle w:val="2"/>
        <w:spacing w:line="360" w:lineRule="auto"/>
        <w:ind w:firstLine="480" w:firstLineChars="200"/>
        <w:rPr>
          <w:rFonts w:ascii="宋体" w:hAnsi="宋体" w:cs="宋体"/>
          <w:sz w:val="24"/>
        </w:rPr>
      </w:pPr>
      <w:r>
        <w:rPr>
          <w:rFonts w:hint="eastAsia" w:ascii="宋体" w:hAnsi="宋体" w:cs="宋体"/>
          <w:bCs/>
          <w:sz w:val="24"/>
        </w:rPr>
        <w:t>4.</w:t>
      </w:r>
      <w:r>
        <w:rPr>
          <w:rFonts w:hint="eastAsia" w:ascii="宋体" w:hAnsi="宋体" w:cs="宋体"/>
          <w:sz w:val="24"/>
        </w:rPr>
        <w:t>采购人不解释落标原因，不退还投标文件。</w:t>
      </w:r>
    </w:p>
    <w:p w14:paraId="452494DF">
      <w:pPr>
        <w:spacing w:line="400" w:lineRule="exact"/>
        <w:rPr>
          <w:rFonts w:ascii="宋体" w:hAnsi="宋体" w:cs="宋体"/>
          <w:b/>
          <w:sz w:val="36"/>
          <w:szCs w:val="36"/>
        </w:rPr>
      </w:pPr>
      <w:r>
        <w:rPr>
          <w:rFonts w:hint="eastAsia" w:ascii="宋体" w:hAnsi="宋体" w:cs="宋体"/>
          <w:b/>
          <w:sz w:val="32"/>
          <w:szCs w:val="32"/>
        </w:rPr>
        <w:br w:type="page"/>
      </w:r>
      <w:r>
        <w:rPr>
          <w:rFonts w:hint="eastAsia" w:ascii="宋体" w:hAnsi="宋体" w:cs="宋体"/>
          <w:b/>
          <w:sz w:val="36"/>
          <w:szCs w:val="36"/>
        </w:rPr>
        <w:t xml:space="preserve">       第四章   投标文件格式</w:t>
      </w:r>
    </w:p>
    <w:p w14:paraId="1D1D9270">
      <w:pPr>
        <w:pStyle w:val="2"/>
        <w:rPr>
          <w:rFonts w:ascii="宋体" w:hAnsi="宋体" w:cs="宋体"/>
        </w:rPr>
      </w:pPr>
    </w:p>
    <w:p w14:paraId="4C800D6D">
      <w:pPr>
        <w:numPr>
          <w:ilvl w:val="0"/>
          <w:numId w:val="10"/>
        </w:numPr>
        <w:spacing w:line="360" w:lineRule="auto"/>
        <w:rPr>
          <w:rFonts w:ascii="宋体" w:hAnsi="宋体" w:cs="宋体"/>
          <w:b/>
          <w:sz w:val="24"/>
          <w:szCs w:val="24"/>
        </w:rPr>
      </w:pPr>
      <w:r>
        <w:rPr>
          <w:rFonts w:hint="eastAsia" w:ascii="宋体" w:hAnsi="宋体" w:cs="宋体"/>
          <w:b/>
          <w:sz w:val="24"/>
          <w:szCs w:val="24"/>
        </w:rPr>
        <w:t>投标文件的数量、密封及标记</w:t>
      </w:r>
    </w:p>
    <w:p w14:paraId="5AF3462D">
      <w:pPr>
        <w:spacing w:line="360" w:lineRule="auto"/>
        <w:ind w:firstLine="540" w:firstLineChars="225"/>
        <w:rPr>
          <w:rFonts w:ascii="宋体" w:hAnsi="宋体" w:cs="宋体"/>
          <w:sz w:val="24"/>
          <w:szCs w:val="24"/>
        </w:rPr>
      </w:pPr>
      <w:r>
        <w:rPr>
          <w:rFonts w:hint="eastAsia" w:ascii="宋体" w:hAnsi="宋体" w:cs="宋体"/>
          <w:bCs/>
          <w:sz w:val="24"/>
          <w:szCs w:val="24"/>
        </w:rPr>
        <w:t>投标文件必须提供“正本”一套、“副本”三套，</w:t>
      </w:r>
      <w:r>
        <w:rPr>
          <w:rFonts w:hint="eastAsia" w:ascii="宋体" w:hAnsi="宋体" w:cs="宋体"/>
          <w:sz w:val="24"/>
          <w:szCs w:val="24"/>
        </w:rPr>
        <w:t>用档案袋密封，封面注明采购项目名称、投标人全称、及“正本、副本”字样。</w:t>
      </w:r>
    </w:p>
    <w:p w14:paraId="5784A7F5">
      <w:pPr>
        <w:numPr>
          <w:ilvl w:val="0"/>
          <w:numId w:val="10"/>
        </w:numPr>
        <w:spacing w:line="360" w:lineRule="auto"/>
        <w:rPr>
          <w:rFonts w:ascii="宋体" w:hAnsi="宋体" w:cs="宋体"/>
          <w:b/>
          <w:sz w:val="24"/>
          <w:szCs w:val="24"/>
        </w:rPr>
      </w:pPr>
      <w:r>
        <w:rPr>
          <w:rFonts w:hint="eastAsia" w:ascii="宋体" w:hAnsi="宋体" w:cs="宋体"/>
          <w:b/>
          <w:sz w:val="24"/>
          <w:szCs w:val="24"/>
        </w:rPr>
        <w:t>投标文件内容</w:t>
      </w:r>
    </w:p>
    <w:p w14:paraId="22829D5A">
      <w:pPr>
        <w:spacing w:line="360" w:lineRule="auto"/>
        <w:ind w:firstLine="480" w:firstLineChars="200"/>
        <w:rPr>
          <w:rFonts w:ascii="宋体" w:hAnsi="宋体" w:cs="宋体"/>
          <w:sz w:val="24"/>
          <w:szCs w:val="24"/>
        </w:rPr>
      </w:pPr>
      <w:r>
        <w:rPr>
          <w:rFonts w:hint="eastAsia" w:ascii="宋体" w:hAnsi="宋体" w:cs="宋体"/>
          <w:sz w:val="24"/>
          <w:szCs w:val="24"/>
        </w:rPr>
        <w:t>投标文件必须按照以下格式制作，并按照序号装订。</w:t>
      </w:r>
    </w:p>
    <w:p w14:paraId="664ED5BA">
      <w:pPr>
        <w:spacing w:line="360" w:lineRule="auto"/>
        <w:ind w:firstLine="482" w:firstLineChars="200"/>
        <w:rPr>
          <w:rFonts w:ascii="宋体" w:hAnsi="宋体" w:cs="宋体"/>
          <w:b/>
          <w:sz w:val="24"/>
          <w:szCs w:val="24"/>
        </w:rPr>
      </w:pPr>
      <w:r>
        <w:rPr>
          <w:rFonts w:hint="eastAsia" w:ascii="宋体" w:hAnsi="宋体" w:cs="宋体"/>
          <w:b/>
          <w:sz w:val="24"/>
          <w:szCs w:val="24"/>
        </w:rPr>
        <w:t>以下带*内容必须全部提供，必须加盖投标人红色公章。投标供应商应将投标文件正本和所有副本密封。公章仅指与当事人名称全称相一致的标准公章。</w:t>
      </w:r>
    </w:p>
    <w:p w14:paraId="4FF90C44">
      <w:pPr>
        <w:tabs>
          <w:tab w:val="left" w:pos="960"/>
        </w:tabs>
        <w:spacing w:line="360" w:lineRule="auto"/>
        <w:ind w:firstLine="480" w:firstLineChars="200"/>
        <w:rPr>
          <w:rFonts w:ascii="宋体" w:hAnsi="宋体" w:cs="宋体"/>
          <w:sz w:val="24"/>
        </w:rPr>
      </w:pPr>
      <w:r>
        <w:rPr>
          <w:rFonts w:hint="eastAsia" w:ascii="宋体" w:hAnsi="宋体" w:cs="宋体"/>
          <w:sz w:val="24"/>
        </w:rPr>
        <w:t>1.*《报价一览表》、《投标分项报价表》(格式见附七)；</w:t>
      </w:r>
    </w:p>
    <w:p w14:paraId="7B2F97D7">
      <w:pPr>
        <w:tabs>
          <w:tab w:val="left" w:pos="960"/>
        </w:tabs>
        <w:spacing w:line="360" w:lineRule="auto"/>
        <w:ind w:firstLine="480" w:firstLineChars="200"/>
        <w:rPr>
          <w:rFonts w:ascii="宋体" w:hAnsi="宋体" w:cs="宋体"/>
          <w:sz w:val="24"/>
        </w:rPr>
      </w:pPr>
      <w:r>
        <w:rPr>
          <w:rFonts w:hint="eastAsia" w:ascii="宋体" w:hAnsi="宋体" w:cs="宋体"/>
          <w:sz w:val="24"/>
        </w:rPr>
        <w:t>2.*商务偏离表（格式见附件八）；</w:t>
      </w:r>
    </w:p>
    <w:p w14:paraId="38DACFCD">
      <w:pPr>
        <w:tabs>
          <w:tab w:val="left" w:pos="960"/>
        </w:tabs>
        <w:spacing w:line="360" w:lineRule="auto"/>
        <w:ind w:firstLine="480" w:firstLineChars="200"/>
        <w:rPr>
          <w:rFonts w:ascii="宋体" w:hAnsi="宋体" w:cs="宋体"/>
          <w:sz w:val="24"/>
        </w:rPr>
      </w:pPr>
      <w:r>
        <w:rPr>
          <w:rFonts w:hint="eastAsia" w:ascii="宋体" w:hAnsi="宋体" w:cs="宋体"/>
          <w:sz w:val="24"/>
        </w:rPr>
        <w:t>3.*技术规格偏离表（格式见附件九）；</w:t>
      </w:r>
    </w:p>
    <w:p w14:paraId="2137DC27">
      <w:pPr>
        <w:spacing w:line="360" w:lineRule="auto"/>
        <w:ind w:firstLine="480" w:firstLineChars="200"/>
        <w:rPr>
          <w:rFonts w:ascii="宋体" w:hAnsi="宋体" w:cs="宋体"/>
          <w:bCs/>
          <w:sz w:val="24"/>
          <w:szCs w:val="24"/>
        </w:rPr>
      </w:pPr>
      <w:r>
        <w:rPr>
          <w:rFonts w:hint="eastAsia" w:ascii="宋体" w:hAnsi="宋体" w:cs="宋体"/>
          <w:bCs/>
          <w:sz w:val="24"/>
          <w:szCs w:val="24"/>
        </w:rPr>
        <w:t>4.*</w:t>
      </w:r>
      <w:r>
        <w:rPr>
          <w:rFonts w:hint="eastAsia" w:ascii="宋体" w:hAnsi="宋体" w:cs="宋体"/>
          <w:sz w:val="24"/>
          <w:szCs w:val="24"/>
        </w:rPr>
        <w:t>有效的营业执照副本复印件（加盖投标人公章）</w:t>
      </w:r>
      <w:r>
        <w:rPr>
          <w:rFonts w:hint="eastAsia" w:ascii="宋体" w:hAnsi="宋体" w:cs="宋体"/>
          <w:b/>
          <w:sz w:val="24"/>
          <w:szCs w:val="24"/>
        </w:rPr>
        <w:t>；</w:t>
      </w:r>
      <w:r>
        <w:rPr>
          <w:rFonts w:hint="eastAsia" w:ascii="宋体" w:hAnsi="宋体" w:cs="宋体"/>
          <w:sz w:val="24"/>
        </w:rPr>
        <w:t>  </w:t>
      </w:r>
    </w:p>
    <w:p w14:paraId="0A778C4A">
      <w:pPr>
        <w:tabs>
          <w:tab w:val="left" w:pos="960"/>
        </w:tabs>
        <w:spacing w:line="360" w:lineRule="auto"/>
        <w:ind w:firstLine="482" w:firstLineChars="200"/>
        <w:rPr>
          <w:rFonts w:ascii="宋体" w:hAnsi="宋体" w:cs="宋体"/>
          <w:sz w:val="24"/>
        </w:rPr>
      </w:pPr>
      <w:r>
        <w:rPr>
          <w:rFonts w:hint="eastAsia" w:ascii="宋体" w:hAnsi="宋体" w:cs="宋体"/>
          <w:b/>
          <w:sz w:val="24"/>
        </w:rPr>
        <w:t>5.</w:t>
      </w:r>
      <w:r>
        <w:rPr>
          <w:rFonts w:hint="eastAsia" w:ascii="宋体" w:hAnsi="宋体" w:cs="宋体"/>
          <w:sz w:val="24"/>
          <w:szCs w:val="24"/>
        </w:rPr>
        <w:t>*</w:t>
      </w:r>
      <w:r>
        <w:rPr>
          <w:rFonts w:hint="eastAsia" w:ascii="宋体" w:hAnsi="宋体" w:cs="宋体"/>
          <w:sz w:val="24"/>
        </w:rPr>
        <w:t xml:space="preserve">法定代表人身份证明书（格式见附件一）、法定代表人身份证复印件； </w:t>
      </w:r>
    </w:p>
    <w:p w14:paraId="7F9B83B4">
      <w:pPr>
        <w:tabs>
          <w:tab w:val="left" w:pos="960"/>
        </w:tabs>
        <w:spacing w:line="360" w:lineRule="auto"/>
        <w:ind w:firstLine="482" w:firstLineChars="200"/>
        <w:rPr>
          <w:rFonts w:ascii="宋体" w:hAnsi="宋体" w:cs="宋体"/>
          <w:sz w:val="24"/>
        </w:rPr>
      </w:pPr>
      <w:r>
        <w:rPr>
          <w:rFonts w:hint="eastAsia" w:ascii="宋体" w:hAnsi="宋体" w:cs="宋体"/>
          <w:b/>
          <w:sz w:val="24"/>
        </w:rPr>
        <w:t>6</w:t>
      </w:r>
      <w:r>
        <w:rPr>
          <w:rFonts w:hint="eastAsia" w:ascii="宋体" w:hAnsi="宋体" w:cs="宋体"/>
          <w:sz w:val="24"/>
        </w:rPr>
        <w:t>.</w:t>
      </w:r>
      <w:r>
        <w:rPr>
          <w:rFonts w:hint="eastAsia" w:ascii="宋体" w:hAnsi="宋体" w:cs="宋体"/>
          <w:sz w:val="24"/>
          <w:szCs w:val="24"/>
        </w:rPr>
        <w:t xml:space="preserve"> *</w:t>
      </w:r>
      <w:r>
        <w:rPr>
          <w:rFonts w:hint="eastAsia" w:ascii="宋体" w:hAnsi="宋体" w:cs="宋体"/>
          <w:sz w:val="24"/>
        </w:rPr>
        <w:t xml:space="preserve">法定代表人授权委托书（格式见附件二）、授权委托人（即代理人）身份证复印件； </w:t>
      </w:r>
    </w:p>
    <w:p w14:paraId="56AD1C00">
      <w:pPr>
        <w:pStyle w:val="2"/>
        <w:spacing w:line="360" w:lineRule="auto"/>
        <w:ind w:firstLine="480" w:firstLineChars="200"/>
        <w:rPr>
          <w:rFonts w:ascii="宋体" w:hAnsi="宋体" w:cs="宋体"/>
          <w:sz w:val="24"/>
        </w:rPr>
      </w:pPr>
      <w:r>
        <w:rPr>
          <w:rFonts w:hint="eastAsia" w:ascii="宋体" w:hAnsi="宋体" w:cs="宋体"/>
          <w:sz w:val="24"/>
        </w:rPr>
        <w:t>7.*投标申请及声明（格式见附件三）；</w:t>
      </w:r>
    </w:p>
    <w:p w14:paraId="11753773">
      <w:pPr>
        <w:pStyle w:val="2"/>
        <w:spacing w:line="360" w:lineRule="auto"/>
        <w:ind w:firstLine="480" w:firstLineChars="200"/>
        <w:rPr>
          <w:rFonts w:ascii="宋体" w:hAnsi="宋体" w:cs="宋体"/>
        </w:rPr>
      </w:pPr>
      <w:r>
        <w:rPr>
          <w:rFonts w:hint="eastAsia" w:ascii="宋体" w:hAnsi="宋体" w:cs="宋体"/>
          <w:bCs/>
          <w:sz w:val="24"/>
        </w:rPr>
        <w:t>8.*投标人资格声明（原件，加盖投标人公章），声明（格式见附件四）；</w:t>
      </w:r>
    </w:p>
    <w:p w14:paraId="65F1E01E">
      <w:pPr>
        <w:tabs>
          <w:tab w:val="left" w:pos="960"/>
        </w:tabs>
        <w:spacing w:line="360" w:lineRule="auto"/>
        <w:ind w:firstLine="480" w:firstLineChars="200"/>
        <w:rPr>
          <w:rFonts w:ascii="宋体" w:hAnsi="宋体" w:cs="宋体"/>
          <w:sz w:val="24"/>
        </w:rPr>
      </w:pPr>
      <w:r>
        <w:rPr>
          <w:rFonts w:hint="eastAsia" w:ascii="宋体" w:hAnsi="宋体" w:cs="宋体"/>
          <w:bCs/>
          <w:sz w:val="24"/>
        </w:rPr>
        <w:t>9</w:t>
      </w:r>
      <w:r>
        <w:rPr>
          <w:rFonts w:hint="eastAsia" w:ascii="宋体" w:hAnsi="宋体" w:cs="宋体"/>
          <w:sz w:val="24"/>
        </w:rPr>
        <w:t>.</w:t>
      </w:r>
      <w:r>
        <w:rPr>
          <w:rFonts w:hint="eastAsia" w:ascii="宋体" w:hAnsi="宋体" w:cs="宋体"/>
          <w:sz w:val="24"/>
          <w:szCs w:val="24"/>
        </w:rPr>
        <w:t>*</w:t>
      </w:r>
      <w:r>
        <w:rPr>
          <w:rFonts w:hint="eastAsia" w:ascii="宋体" w:hAnsi="宋体" w:cs="宋体"/>
          <w:sz w:val="24"/>
        </w:rPr>
        <w:t>参加政府采购活动前三年内在经营活动中没有重大违法记录的书面声明（格式见附件五）；</w:t>
      </w:r>
    </w:p>
    <w:p w14:paraId="1361A622">
      <w:pPr>
        <w:tabs>
          <w:tab w:val="left" w:pos="960"/>
        </w:tabs>
        <w:spacing w:line="360" w:lineRule="auto"/>
        <w:ind w:firstLine="480" w:firstLineChars="200"/>
        <w:rPr>
          <w:rFonts w:ascii="宋体" w:hAnsi="宋体" w:cs="宋体"/>
          <w:sz w:val="24"/>
        </w:rPr>
      </w:pPr>
      <w:r>
        <w:rPr>
          <w:rFonts w:hint="eastAsia" w:ascii="宋体" w:hAnsi="宋体" w:cs="宋体"/>
          <w:sz w:val="24"/>
        </w:rPr>
        <w:t>10.*依法缴纳税收和社会保障资金的相关材料（复印件，加盖投标人公章）。</w:t>
      </w:r>
    </w:p>
    <w:p w14:paraId="205A8B19">
      <w:pPr>
        <w:tabs>
          <w:tab w:val="left" w:pos="960"/>
        </w:tabs>
        <w:spacing w:line="360" w:lineRule="auto"/>
        <w:ind w:firstLine="480" w:firstLineChars="200"/>
        <w:rPr>
          <w:rFonts w:ascii="宋体" w:hAnsi="宋体" w:cs="宋体"/>
          <w:sz w:val="24"/>
        </w:rPr>
      </w:pPr>
      <w:r>
        <w:rPr>
          <w:rFonts w:hint="eastAsia" w:ascii="宋体" w:hAnsi="宋体" w:cs="宋体"/>
          <w:sz w:val="24"/>
        </w:rPr>
        <w:t>11.*投标供应商提</w:t>
      </w:r>
      <w:r>
        <w:rPr>
          <w:rFonts w:hint="eastAsia" w:ascii="宋体" w:hAnsi="宋体" w:cs="宋体"/>
          <w:sz w:val="24"/>
          <w:szCs w:val="22"/>
        </w:rPr>
        <w:t>供制造厂商授权代理销售证明书（如为代理商）</w:t>
      </w:r>
    </w:p>
    <w:p w14:paraId="1431A354">
      <w:pPr>
        <w:pStyle w:val="2"/>
        <w:spacing w:line="360" w:lineRule="auto"/>
        <w:ind w:firstLine="480" w:firstLineChars="200"/>
        <w:rPr>
          <w:rFonts w:ascii="宋体" w:hAnsi="宋体" w:cs="宋体"/>
          <w:sz w:val="24"/>
        </w:rPr>
      </w:pPr>
      <w:r>
        <w:rPr>
          <w:rFonts w:hint="eastAsia" w:ascii="宋体" w:hAnsi="宋体" w:cs="宋体"/>
          <w:sz w:val="24"/>
        </w:rPr>
        <w:t>12.*具备履行合同所必需的设备和专业技术能力的书面声明（格式见附件六）；</w:t>
      </w:r>
    </w:p>
    <w:p w14:paraId="434B5141">
      <w:pPr>
        <w:tabs>
          <w:tab w:val="left" w:pos="960"/>
        </w:tabs>
        <w:spacing w:line="360" w:lineRule="auto"/>
        <w:ind w:firstLine="480" w:firstLineChars="200"/>
        <w:rPr>
          <w:rFonts w:ascii="宋体" w:hAnsi="宋体" w:cs="宋体"/>
          <w:sz w:val="24"/>
          <w:szCs w:val="22"/>
        </w:rPr>
      </w:pPr>
      <w:r>
        <w:rPr>
          <w:rFonts w:hint="eastAsia" w:ascii="宋体" w:hAnsi="宋体" w:cs="宋体"/>
          <w:sz w:val="24"/>
          <w:szCs w:val="22"/>
        </w:rPr>
        <w:t>13.*产品情况</w:t>
      </w:r>
    </w:p>
    <w:p w14:paraId="59603D99">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1）产品详细配置清单；</w:t>
      </w:r>
    </w:p>
    <w:p w14:paraId="3F72B88A">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2）产品质保期内的服务承诺、售后服务体系（附件十）；</w:t>
      </w:r>
    </w:p>
    <w:p w14:paraId="40BBACF1">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3）及培训计划方案等和出保以后的</w:t>
      </w:r>
      <w:r>
        <w:rPr>
          <w:rFonts w:hint="eastAsia" w:ascii="宋体" w:hAnsi="宋体" w:cs="宋体"/>
          <w:sz w:val="24"/>
          <w:szCs w:val="24"/>
          <w:u w:val="single"/>
        </w:rPr>
        <w:t>维保价格</w:t>
      </w:r>
      <w:r>
        <w:rPr>
          <w:rFonts w:hint="eastAsia" w:ascii="宋体" w:hAnsi="宋体" w:cs="宋体"/>
          <w:sz w:val="24"/>
          <w:szCs w:val="24"/>
        </w:rPr>
        <w:t>；</w:t>
      </w:r>
    </w:p>
    <w:p w14:paraId="2E230816">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4）该项目对使用人员的数量、资质，以及对场地的要求；</w:t>
      </w:r>
    </w:p>
    <w:p w14:paraId="5ED3F044">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5）须提供</w:t>
      </w:r>
      <w:r>
        <w:rPr>
          <w:rFonts w:hint="eastAsia" w:ascii="宋体" w:hAnsi="宋体" w:cs="宋体"/>
          <w:b/>
          <w:sz w:val="24"/>
          <w:szCs w:val="24"/>
          <w:u w:val="single"/>
        </w:rPr>
        <w:t>近三年内在江苏、上海、浙江地区</w:t>
      </w:r>
      <w:r>
        <w:rPr>
          <w:rFonts w:hint="eastAsia" w:ascii="宋体" w:hAnsi="宋体" w:cs="宋体"/>
          <w:sz w:val="24"/>
          <w:szCs w:val="24"/>
        </w:rPr>
        <w:t>本产品销售合同或发票（附配置参数清单）等复印件；</w:t>
      </w:r>
    </w:p>
    <w:p w14:paraId="0CF21C06">
      <w:pPr>
        <w:pStyle w:val="68"/>
        <w:adjustRightInd w:val="0"/>
        <w:snapToGrid w:val="0"/>
        <w:spacing w:afterLines="50" w:line="360" w:lineRule="auto"/>
        <w:ind w:left="786" w:firstLine="0" w:firstLineChars="0"/>
        <w:jc w:val="left"/>
        <w:rPr>
          <w:rFonts w:ascii="宋体" w:hAnsi="宋体" w:cs="宋体"/>
          <w:sz w:val="24"/>
          <w:szCs w:val="24"/>
        </w:rPr>
      </w:pPr>
      <w:r>
        <w:rPr>
          <w:rFonts w:hint="eastAsia" w:ascii="宋体" w:hAnsi="宋体" w:cs="宋体"/>
          <w:sz w:val="24"/>
          <w:szCs w:val="24"/>
        </w:rPr>
        <w:t>6）生产商和品牌的简要介绍，包括市场占有率、在本领域内的先进性等，应当辅以适当的证明材料；</w:t>
      </w:r>
    </w:p>
    <w:p w14:paraId="7AF81AE8">
      <w:pPr>
        <w:adjustRightInd w:val="0"/>
        <w:snapToGrid w:val="0"/>
        <w:spacing w:afterLines="50" w:line="360" w:lineRule="auto"/>
        <w:ind w:left="420"/>
        <w:jc w:val="left"/>
        <w:rPr>
          <w:rFonts w:ascii="宋体" w:hAnsi="宋体" w:cs="宋体"/>
          <w:sz w:val="24"/>
          <w:szCs w:val="24"/>
        </w:rPr>
      </w:pPr>
      <w:r>
        <w:rPr>
          <w:rFonts w:hint="eastAsia" w:ascii="宋体" w:hAnsi="宋体" w:cs="宋体"/>
          <w:sz w:val="24"/>
          <w:szCs w:val="24"/>
        </w:rPr>
        <w:t>7）产品用户名单，如有多种型号应当注明；</w:t>
      </w:r>
    </w:p>
    <w:p w14:paraId="7B1C1553">
      <w:pPr>
        <w:adjustRightInd w:val="0"/>
        <w:snapToGrid w:val="0"/>
        <w:spacing w:afterLines="50" w:line="360" w:lineRule="auto"/>
        <w:ind w:firstLine="480" w:firstLineChars="200"/>
        <w:jc w:val="left"/>
        <w:rPr>
          <w:rFonts w:ascii="宋体" w:hAnsi="宋体" w:cs="宋体"/>
          <w:sz w:val="24"/>
          <w:szCs w:val="24"/>
        </w:rPr>
      </w:pPr>
      <w:r>
        <w:rPr>
          <w:rFonts w:hint="eastAsia" w:ascii="宋体" w:hAnsi="宋体" w:cs="宋体"/>
          <w:sz w:val="24"/>
          <w:szCs w:val="24"/>
        </w:rPr>
        <w:t>8）产品彩页。</w:t>
      </w:r>
    </w:p>
    <w:p w14:paraId="08C4FB28">
      <w:pPr>
        <w:tabs>
          <w:tab w:val="left" w:pos="960"/>
        </w:tabs>
        <w:spacing w:line="360" w:lineRule="auto"/>
        <w:ind w:firstLine="480" w:firstLineChars="200"/>
        <w:rPr>
          <w:rFonts w:ascii="宋体" w:hAnsi="宋体" w:cs="宋体"/>
          <w:sz w:val="24"/>
        </w:rPr>
      </w:pPr>
      <w:r>
        <w:rPr>
          <w:rFonts w:hint="eastAsia" w:ascii="宋体" w:hAnsi="宋体" w:cs="宋体"/>
          <w:sz w:val="24"/>
        </w:rPr>
        <w:t>16.投标供应商认为有必要提供的其它资料。</w:t>
      </w:r>
    </w:p>
    <w:p w14:paraId="45C196EB">
      <w:pPr>
        <w:pStyle w:val="43"/>
        <w:rPr>
          <w:rFonts w:ascii="宋体" w:hAnsi="宋体" w:cs="宋体"/>
          <w:b/>
          <w:bCs/>
          <w:kern w:val="2"/>
          <w:sz w:val="24"/>
          <w:szCs w:val="22"/>
        </w:rPr>
      </w:pPr>
      <w:r>
        <w:rPr>
          <w:rFonts w:hint="eastAsia" w:ascii="宋体" w:hAnsi="宋体" w:cs="宋体"/>
          <w:b/>
          <w:bCs/>
          <w:kern w:val="2"/>
          <w:sz w:val="24"/>
          <w:szCs w:val="22"/>
        </w:rPr>
        <w:t>注：</w:t>
      </w:r>
    </w:p>
    <w:p w14:paraId="5AAC5B47">
      <w:pPr>
        <w:pStyle w:val="43"/>
        <w:ind w:firstLine="482" w:firstLineChars="200"/>
        <w:rPr>
          <w:rFonts w:ascii="宋体" w:hAnsi="宋体" w:cs="宋体"/>
          <w:b/>
          <w:bCs/>
          <w:kern w:val="2"/>
          <w:sz w:val="24"/>
          <w:szCs w:val="22"/>
        </w:rPr>
      </w:pPr>
      <w:r>
        <w:rPr>
          <w:rFonts w:hint="eastAsia" w:ascii="宋体" w:hAnsi="宋体" w:cs="宋体"/>
          <w:b/>
          <w:bCs/>
          <w:kern w:val="2"/>
          <w:sz w:val="24"/>
          <w:szCs w:val="22"/>
        </w:rPr>
        <w:t>投标文件顺序内容参照投标文件格式中投标主要文件目录的顺序制作，由于不按要求编排，编排混乱等导致投标文件被误读或查找不到，责任由供应商承担。</w:t>
      </w:r>
    </w:p>
    <w:p w14:paraId="6E7CE7BC">
      <w:pPr>
        <w:pStyle w:val="43"/>
        <w:rPr>
          <w:rFonts w:ascii="宋体" w:hAnsi="宋体" w:cs="宋体"/>
        </w:rPr>
      </w:pPr>
    </w:p>
    <w:p w14:paraId="023788FF">
      <w:pPr>
        <w:pStyle w:val="43"/>
        <w:rPr>
          <w:rFonts w:ascii="宋体" w:hAnsi="宋体" w:cs="宋体"/>
        </w:rPr>
      </w:pPr>
    </w:p>
    <w:p w14:paraId="0655E302">
      <w:pPr>
        <w:pStyle w:val="43"/>
        <w:rPr>
          <w:rFonts w:ascii="宋体" w:hAnsi="宋体" w:cs="宋体"/>
        </w:rPr>
      </w:pPr>
    </w:p>
    <w:p w14:paraId="5C89402B">
      <w:pPr>
        <w:pStyle w:val="43"/>
        <w:rPr>
          <w:rFonts w:ascii="宋体" w:hAnsi="宋体" w:cs="宋体"/>
        </w:rPr>
      </w:pPr>
    </w:p>
    <w:p w14:paraId="212361A1">
      <w:pPr>
        <w:pStyle w:val="43"/>
        <w:rPr>
          <w:rFonts w:ascii="宋体" w:hAnsi="宋体" w:cs="宋体"/>
        </w:rPr>
      </w:pPr>
    </w:p>
    <w:p w14:paraId="43AD34C0">
      <w:pPr>
        <w:pStyle w:val="43"/>
        <w:rPr>
          <w:rFonts w:ascii="宋体" w:hAnsi="宋体" w:cs="宋体"/>
        </w:rPr>
      </w:pPr>
    </w:p>
    <w:p w14:paraId="37657FC4">
      <w:pPr>
        <w:pStyle w:val="43"/>
        <w:rPr>
          <w:rFonts w:ascii="宋体" w:hAnsi="宋体" w:cs="宋体"/>
        </w:rPr>
      </w:pPr>
    </w:p>
    <w:p w14:paraId="6DB63BC5">
      <w:pPr>
        <w:pStyle w:val="43"/>
        <w:rPr>
          <w:rFonts w:ascii="宋体" w:hAnsi="宋体" w:cs="宋体"/>
        </w:rPr>
      </w:pPr>
    </w:p>
    <w:p w14:paraId="4A0F8FD8">
      <w:pPr>
        <w:pStyle w:val="43"/>
        <w:rPr>
          <w:rFonts w:ascii="宋体" w:hAnsi="宋体" w:cs="宋体"/>
        </w:rPr>
      </w:pPr>
    </w:p>
    <w:p w14:paraId="0A14FAE1">
      <w:pPr>
        <w:pStyle w:val="43"/>
        <w:rPr>
          <w:rFonts w:ascii="宋体" w:hAnsi="宋体" w:cs="宋体"/>
        </w:rPr>
      </w:pPr>
    </w:p>
    <w:p w14:paraId="1D60784E">
      <w:pPr>
        <w:pStyle w:val="43"/>
        <w:rPr>
          <w:rFonts w:ascii="宋体" w:hAnsi="宋体" w:cs="宋体"/>
        </w:rPr>
      </w:pPr>
    </w:p>
    <w:p w14:paraId="6ADA5166">
      <w:pPr>
        <w:pStyle w:val="43"/>
        <w:rPr>
          <w:rFonts w:ascii="宋体" w:hAnsi="宋体" w:cs="宋体"/>
        </w:rPr>
      </w:pPr>
    </w:p>
    <w:p w14:paraId="58A0747F">
      <w:pPr>
        <w:pStyle w:val="43"/>
        <w:rPr>
          <w:rFonts w:ascii="宋体" w:hAnsi="宋体" w:cs="宋体"/>
        </w:rPr>
      </w:pPr>
    </w:p>
    <w:p w14:paraId="51A8905F">
      <w:pPr>
        <w:pStyle w:val="43"/>
        <w:ind w:left="0" w:leftChars="0"/>
        <w:rPr>
          <w:rFonts w:ascii="宋体" w:hAnsi="宋体" w:cs="宋体"/>
        </w:rPr>
      </w:pPr>
    </w:p>
    <w:p w14:paraId="3D51A319">
      <w:pPr>
        <w:pStyle w:val="6"/>
        <w:spacing w:line="360" w:lineRule="auto"/>
        <w:ind w:firstLine="0"/>
        <w:jc w:val="center"/>
        <w:rPr>
          <w:rFonts w:ascii="宋体" w:hAnsi="宋体" w:cs="宋体"/>
          <w:b/>
          <w:bCs/>
          <w:color w:val="000000"/>
          <w:spacing w:val="60"/>
          <w:sz w:val="36"/>
          <w:szCs w:val="36"/>
        </w:rPr>
      </w:pPr>
      <w:r>
        <w:rPr>
          <w:rFonts w:hint="eastAsia" w:ascii="宋体" w:hAnsi="宋体" w:cs="宋体"/>
          <w:b/>
          <w:bCs/>
          <w:color w:val="000000"/>
          <w:spacing w:val="60"/>
          <w:sz w:val="36"/>
          <w:szCs w:val="36"/>
        </w:rPr>
        <w:t>如东县中医院</w:t>
      </w:r>
      <w:r>
        <w:rPr>
          <w:rFonts w:hint="eastAsia" w:ascii="宋体" w:hAnsi="宋体" w:cs="宋体"/>
          <w:b/>
          <w:bCs/>
          <w:color w:val="000000"/>
          <w:spacing w:val="60"/>
          <w:sz w:val="36"/>
          <w:szCs w:val="36"/>
          <w:lang w:eastAsia="zh-CN"/>
        </w:rPr>
        <w:t>心电系统升级</w:t>
      </w:r>
      <w:r>
        <w:rPr>
          <w:rFonts w:hint="eastAsia" w:ascii="宋体" w:hAnsi="宋体" w:cs="宋体"/>
          <w:b/>
          <w:bCs/>
          <w:color w:val="000000"/>
          <w:spacing w:val="60"/>
          <w:sz w:val="36"/>
          <w:szCs w:val="36"/>
        </w:rPr>
        <w:t>采购项目</w:t>
      </w:r>
    </w:p>
    <w:p w14:paraId="7C52E578">
      <w:pPr>
        <w:pStyle w:val="6"/>
        <w:spacing w:line="360" w:lineRule="auto"/>
        <w:ind w:firstLine="0"/>
        <w:jc w:val="right"/>
        <w:rPr>
          <w:rFonts w:ascii="宋体" w:hAnsi="宋体" w:cs="宋体"/>
          <w:b/>
          <w:bCs/>
          <w:color w:val="000000"/>
          <w:spacing w:val="60"/>
          <w:sz w:val="28"/>
          <w:szCs w:val="28"/>
        </w:rPr>
      </w:pPr>
      <w:r>
        <w:rPr>
          <w:rFonts w:hint="eastAsia" w:ascii="宋体" w:hAnsi="宋体" w:cs="宋体"/>
          <w:b/>
          <w:bCs/>
          <w:color w:val="000000"/>
          <w:spacing w:val="60"/>
          <w:sz w:val="28"/>
          <w:szCs w:val="28"/>
        </w:rPr>
        <w:t>（正本、副本）</w:t>
      </w:r>
    </w:p>
    <w:p w14:paraId="7F12501B">
      <w:pPr>
        <w:pStyle w:val="6"/>
        <w:spacing w:line="360" w:lineRule="auto"/>
        <w:ind w:firstLine="0"/>
        <w:jc w:val="center"/>
        <w:rPr>
          <w:rFonts w:ascii="宋体" w:hAnsi="宋体" w:cs="宋体"/>
          <w:b/>
          <w:bCs/>
          <w:color w:val="000000"/>
          <w:spacing w:val="60"/>
          <w:sz w:val="44"/>
          <w:szCs w:val="44"/>
        </w:rPr>
      </w:pPr>
    </w:p>
    <w:p w14:paraId="402582E2">
      <w:pPr>
        <w:pStyle w:val="6"/>
        <w:spacing w:line="360" w:lineRule="auto"/>
        <w:ind w:firstLine="0"/>
        <w:jc w:val="center"/>
        <w:rPr>
          <w:rFonts w:ascii="宋体" w:hAnsi="宋体" w:cs="宋体"/>
          <w:b/>
          <w:bCs/>
          <w:color w:val="000000"/>
          <w:spacing w:val="60"/>
          <w:sz w:val="44"/>
          <w:szCs w:val="44"/>
        </w:rPr>
      </w:pPr>
    </w:p>
    <w:p w14:paraId="28837CFA">
      <w:pPr>
        <w:pStyle w:val="6"/>
        <w:spacing w:line="360" w:lineRule="auto"/>
        <w:ind w:firstLine="0"/>
        <w:jc w:val="center"/>
        <w:rPr>
          <w:rFonts w:ascii="宋体" w:hAnsi="宋体" w:cs="宋体"/>
          <w:b/>
          <w:bCs/>
          <w:color w:val="000000"/>
          <w:spacing w:val="60"/>
          <w:sz w:val="44"/>
          <w:szCs w:val="44"/>
        </w:rPr>
      </w:pPr>
    </w:p>
    <w:p w14:paraId="25C93FEB">
      <w:pPr>
        <w:pStyle w:val="6"/>
        <w:spacing w:line="360" w:lineRule="auto"/>
        <w:ind w:firstLine="0"/>
        <w:jc w:val="center"/>
        <w:rPr>
          <w:rFonts w:ascii="宋体" w:hAnsi="宋体" w:cs="宋体"/>
          <w:b/>
          <w:bCs/>
          <w:color w:val="000000"/>
          <w:spacing w:val="60"/>
          <w:sz w:val="44"/>
          <w:szCs w:val="44"/>
        </w:rPr>
      </w:pPr>
    </w:p>
    <w:p w14:paraId="39FB56C9">
      <w:pPr>
        <w:pStyle w:val="6"/>
        <w:spacing w:line="360" w:lineRule="auto"/>
        <w:ind w:firstLine="0"/>
        <w:jc w:val="center"/>
        <w:rPr>
          <w:rFonts w:ascii="宋体" w:hAnsi="宋体" w:cs="宋体"/>
          <w:b/>
          <w:bCs/>
          <w:color w:val="000000"/>
          <w:spacing w:val="60"/>
          <w:sz w:val="36"/>
          <w:szCs w:val="36"/>
        </w:rPr>
      </w:pPr>
      <w:r>
        <w:rPr>
          <w:rFonts w:hint="eastAsia" w:ascii="宋体" w:hAnsi="宋体" w:cs="宋体"/>
          <w:b/>
          <w:bCs/>
          <w:color w:val="000000"/>
          <w:spacing w:val="60"/>
          <w:sz w:val="44"/>
          <w:szCs w:val="44"/>
        </w:rPr>
        <w:t xml:space="preserve">投   </w:t>
      </w:r>
    </w:p>
    <w:p w14:paraId="6E3FBB3A">
      <w:pPr>
        <w:pStyle w:val="6"/>
        <w:spacing w:line="360" w:lineRule="auto"/>
        <w:ind w:firstLine="3110" w:firstLineChars="646"/>
        <w:rPr>
          <w:rFonts w:ascii="宋体" w:hAnsi="宋体" w:cs="宋体"/>
          <w:b/>
          <w:bCs/>
          <w:color w:val="000000"/>
          <w:spacing w:val="60"/>
          <w:sz w:val="36"/>
          <w:szCs w:val="36"/>
        </w:rPr>
      </w:pPr>
    </w:p>
    <w:p w14:paraId="61788131">
      <w:pPr>
        <w:pStyle w:val="6"/>
        <w:spacing w:line="360" w:lineRule="auto"/>
        <w:ind w:firstLine="0"/>
        <w:jc w:val="center"/>
        <w:rPr>
          <w:rFonts w:ascii="宋体" w:hAnsi="宋体" w:cs="宋体"/>
          <w:b/>
          <w:bCs/>
          <w:color w:val="000000"/>
          <w:spacing w:val="60"/>
          <w:sz w:val="44"/>
          <w:szCs w:val="44"/>
        </w:rPr>
      </w:pPr>
      <w:r>
        <w:rPr>
          <w:rFonts w:hint="eastAsia" w:ascii="宋体" w:hAnsi="宋体" w:cs="宋体"/>
          <w:b/>
          <w:bCs/>
          <w:color w:val="000000"/>
          <w:spacing w:val="60"/>
          <w:sz w:val="44"/>
          <w:szCs w:val="44"/>
        </w:rPr>
        <w:t>标</w:t>
      </w:r>
    </w:p>
    <w:p w14:paraId="7E050D21">
      <w:pPr>
        <w:pStyle w:val="6"/>
        <w:spacing w:line="360" w:lineRule="auto"/>
        <w:ind w:firstLine="2941" w:firstLineChars="611"/>
        <w:jc w:val="center"/>
        <w:rPr>
          <w:rFonts w:ascii="宋体" w:hAnsi="宋体" w:cs="宋体"/>
          <w:b/>
          <w:bCs/>
          <w:color w:val="000000"/>
          <w:spacing w:val="60"/>
          <w:sz w:val="36"/>
          <w:szCs w:val="36"/>
        </w:rPr>
      </w:pPr>
    </w:p>
    <w:p w14:paraId="1E6D8BEB">
      <w:pPr>
        <w:pStyle w:val="6"/>
        <w:spacing w:line="360" w:lineRule="auto"/>
        <w:ind w:firstLine="0"/>
        <w:jc w:val="center"/>
        <w:rPr>
          <w:rFonts w:ascii="宋体" w:hAnsi="宋体" w:cs="宋体"/>
          <w:b/>
          <w:bCs/>
          <w:color w:val="000000"/>
          <w:spacing w:val="60"/>
          <w:sz w:val="44"/>
          <w:szCs w:val="44"/>
        </w:rPr>
      </w:pPr>
      <w:r>
        <w:rPr>
          <w:rFonts w:hint="eastAsia" w:ascii="宋体" w:hAnsi="宋体" w:cs="宋体"/>
          <w:b/>
          <w:bCs/>
          <w:color w:val="000000"/>
          <w:spacing w:val="60"/>
          <w:sz w:val="44"/>
          <w:szCs w:val="44"/>
        </w:rPr>
        <w:t>文</w:t>
      </w:r>
    </w:p>
    <w:p w14:paraId="3EA75265">
      <w:pPr>
        <w:pStyle w:val="6"/>
        <w:spacing w:line="360" w:lineRule="auto"/>
        <w:ind w:firstLine="0"/>
        <w:jc w:val="center"/>
        <w:rPr>
          <w:rFonts w:ascii="宋体" w:hAnsi="宋体" w:cs="宋体"/>
          <w:b/>
          <w:bCs/>
          <w:color w:val="000000"/>
          <w:spacing w:val="60"/>
          <w:sz w:val="36"/>
          <w:szCs w:val="36"/>
        </w:rPr>
      </w:pPr>
    </w:p>
    <w:p w14:paraId="53E3E79B">
      <w:pPr>
        <w:pStyle w:val="6"/>
        <w:spacing w:line="360" w:lineRule="auto"/>
        <w:ind w:firstLine="0"/>
        <w:jc w:val="center"/>
        <w:rPr>
          <w:rFonts w:ascii="宋体" w:hAnsi="宋体" w:cs="宋体"/>
          <w:b/>
          <w:bCs/>
          <w:color w:val="000000"/>
          <w:spacing w:val="60"/>
          <w:sz w:val="44"/>
          <w:szCs w:val="44"/>
        </w:rPr>
      </w:pPr>
      <w:r>
        <w:rPr>
          <w:rFonts w:hint="eastAsia" w:ascii="宋体" w:hAnsi="宋体" w:cs="宋体"/>
          <w:b/>
          <w:bCs/>
          <w:color w:val="000000"/>
          <w:spacing w:val="60"/>
          <w:sz w:val="44"/>
          <w:szCs w:val="44"/>
        </w:rPr>
        <w:t>件</w:t>
      </w:r>
    </w:p>
    <w:p w14:paraId="710C412E">
      <w:pPr>
        <w:pStyle w:val="6"/>
        <w:snapToGrid w:val="0"/>
        <w:spacing w:line="360" w:lineRule="auto"/>
        <w:ind w:firstLine="0"/>
        <w:jc w:val="center"/>
        <w:rPr>
          <w:rFonts w:ascii="宋体" w:hAnsi="宋体" w:cs="宋体"/>
          <w:b/>
          <w:color w:val="000000"/>
          <w:sz w:val="30"/>
          <w:szCs w:val="30"/>
          <w:highlight w:val="yellow"/>
        </w:rPr>
      </w:pPr>
    </w:p>
    <w:p w14:paraId="362073ED">
      <w:pPr>
        <w:pStyle w:val="6"/>
        <w:spacing w:line="240" w:lineRule="auto"/>
        <w:jc w:val="center"/>
        <w:rPr>
          <w:rFonts w:ascii="宋体" w:hAnsi="宋体" w:cs="宋体"/>
          <w:color w:val="000000"/>
        </w:rPr>
      </w:pPr>
    </w:p>
    <w:p w14:paraId="713592B6">
      <w:pPr>
        <w:pStyle w:val="6"/>
        <w:spacing w:line="360" w:lineRule="auto"/>
        <w:ind w:firstLine="983" w:firstLineChars="410"/>
        <w:rPr>
          <w:rFonts w:ascii="宋体" w:hAnsi="宋体" w:cs="宋体"/>
          <w:color w:val="000000"/>
        </w:rPr>
      </w:pPr>
    </w:p>
    <w:p w14:paraId="6DB7AB6B">
      <w:pPr>
        <w:pStyle w:val="6"/>
        <w:spacing w:line="360" w:lineRule="auto"/>
        <w:ind w:firstLine="983" w:firstLineChars="410"/>
        <w:rPr>
          <w:rFonts w:ascii="宋体" w:hAnsi="宋体" w:cs="宋体"/>
          <w:color w:val="000000"/>
          <w:u w:val="single"/>
        </w:rPr>
      </w:pPr>
      <w:r>
        <w:rPr>
          <w:rFonts w:hint="eastAsia" w:ascii="宋体" w:hAnsi="宋体" w:cs="宋体"/>
          <w:color w:val="000000"/>
        </w:rPr>
        <w:t>投标单位名称(加盖公章)：</w:t>
      </w:r>
    </w:p>
    <w:p w14:paraId="323A3068">
      <w:pPr>
        <w:pStyle w:val="6"/>
        <w:spacing w:line="360" w:lineRule="auto"/>
        <w:ind w:firstLine="384" w:firstLineChars="160"/>
        <w:rPr>
          <w:rFonts w:ascii="宋体" w:hAnsi="宋体" w:cs="宋体"/>
          <w:color w:val="000000"/>
          <w:u w:val="single"/>
        </w:rPr>
      </w:pPr>
    </w:p>
    <w:p w14:paraId="6A97CEA9">
      <w:pPr>
        <w:pStyle w:val="6"/>
        <w:spacing w:line="360" w:lineRule="auto"/>
        <w:ind w:firstLine="983" w:firstLineChars="410"/>
        <w:rPr>
          <w:rFonts w:ascii="宋体" w:hAnsi="宋体" w:cs="宋体"/>
          <w:color w:val="000000"/>
          <w:u w:val="single"/>
        </w:rPr>
      </w:pPr>
      <w:r>
        <w:rPr>
          <w:rFonts w:hint="eastAsia" w:ascii="宋体" w:hAnsi="宋体" w:cs="宋体"/>
          <w:color w:val="000000"/>
        </w:rPr>
        <w:t>法定代表人 (签字或盖章)：</w:t>
      </w:r>
      <w:r>
        <w:rPr>
          <w:rFonts w:hint="eastAsia" w:ascii="宋体" w:hAnsi="宋体" w:cs="宋体"/>
          <w:color w:val="000000"/>
          <w:u w:val="single"/>
        </w:rPr>
        <w:t xml:space="preserve">          　　　　　　　　　</w:t>
      </w:r>
    </w:p>
    <w:p w14:paraId="0DA026F0">
      <w:pPr>
        <w:pStyle w:val="6"/>
        <w:spacing w:line="360" w:lineRule="auto"/>
        <w:ind w:firstLine="3600" w:firstLineChars="1500"/>
        <w:rPr>
          <w:rFonts w:ascii="宋体" w:hAnsi="宋体" w:cs="宋体"/>
          <w:color w:val="000000"/>
        </w:rPr>
      </w:pPr>
    </w:p>
    <w:p w14:paraId="6F778F6E">
      <w:pPr>
        <w:pStyle w:val="6"/>
        <w:spacing w:line="360" w:lineRule="auto"/>
        <w:ind w:firstLine="1944" w:firstLineChars="810"/>
        <w:rPr>
          <w:rFonts w:ascii="宋体" w:hAnsi="宋体" w:cs="宋体"/>
          <w:color w:val="000000"/>
        </w:rPr>
      </w:pPr>
      <w:r>
        <w:rPr>
          <w:rFonts w:hint="eastAsia" w:ascii="宋体" w:hAnsi="宋体" w:cs="宋体"/>
          <w:color w:val="000000"/>
        </w:rPr>
        <w:t>日   期：年月日</w:t>
      </w:r>
    </w:p>
    <w:p w14:paraId="6C7A6982">
      <w:pPr>
        <w:widowControl/>
        <w:jc w:val="left"/>
        <w:rPr>
          <w:rFonts w:ascii="宋体" w:hAnsi="宋体" w:cs="宋体"/>
          <w:b/>
          <w:kern w:val="0"/>
          <w:highlight w:val="yellow"/>
        </w:rPr>
      </w:pPr>
    </w:p>
    <w:p w14:paraId="0D1F903D">
      <w:pPr>
        <w:pStyle w:val="2"/>
      </w:pPr>
    </w:p>
    <w:p w14:paraId="41C36673">
      <w:pPr>
        <w:pStyle w:val="5"/>
        <w:jc w:val="center"/>
      </w:pPr>
      <w:r>
        <w:rPr>
          <w:rFonts w:hint="eastAsia"/>
        </w:rPr>
        <w:t>资格审查索引表</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6"/>
        <w:gridCol w:w="2453"/>
      </w:tblGrid>
      <w:tr w14:paraId="7797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336" w:type="dxa"/>
            <w:vAlign w:val="center"/>
          </w:tcPr>
          <w:p w14:paraId="6BFC1033">
            <w:pPr>
              <w:pStyle w:val="68"/>
              <w:shd w:val="clear" w:color="auto" w:fill="FFFFFF"/>
              <w:spacing w:line="265" w:lineRule="atLeast"/>
              <w:ind w:firstLine="0" w:firstLineChars="0"/>
              <w:jc w:val="center"/>
              <w:rPr>
                <w:rFonts w:ascii="宋体" w:hAnsi="宋体"/>
                <w:b/>
                <w:bCs/>
              </w:rPr>
            </w:pPr>
            <w:r>
              <w:rPr>
                <w:rFonts w:hint="eastAsia" w:ascii="宋体" w:hAnsi="宋体"/>
                <w:b/>
                <w:kern w:val="0"/>
                <w:sz w:val="24"/>
                <w:lang w:bidi="en-US"/>
              </w:rPr>
              <w:t>资格评审内容</w:t>
            </w:r>
          </w:p>
        </w:tc>
        <w:tc>
          <w:tcPr>
            <w:tcW w:w="2453" w:type="dxa"/>
            <w:vAlign w:val="center"/>
          </w:tcPr>
          <w:p w14:paraId="24E01CE0">
            <w:pPr>
              <w:jc w:val="center"/>
              <w:rPr>
                <w:rFonts w:ascii="宋体" w:hAnsi="宋体"/>
                <w:b/>
              </w:rPr>
            </w:pPr>
            <w:r>
              <w:rPr>
                <w:rFonts w:hint="eastAsia" w:ascii="宋体" w:hAnsi="宋体"/>
                <w:b/>
                <w:kern w:val="0"/>
                <w:sz w:val="24"/>
                <w:lang w:bidi="en-US"/>
              </w:rPr>
              <w:t>在投标文件中的页码位置</w:t>
            </w:r>
          </w:p>
        </w:tc>
      </w:tr>
      <w:tr w14:paraId="2C8D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A21AA6A">
            <w:pPr>
              <w:rPr>
                <w:rFonts w:ascii="宋体" w:hAnsi="宋体"/>
              </w:rPr>
            </w:pPr>
            <w:r>
              <w:rPr>
                <w:rFonts w:hint="eastAsia" w:ascii="新宋体" w:hAnsi="新宋体" w:eastAsia="新宋体"/>
                <w:sz w:val="24"/>
              </w:rPr>
              <w:t>《报价一览表》、《投标分项报价表》</w:t>
            </w:r>
          </w:p>
        </w:tc>
        <w:tc>
          <w:tcPr>
            <w:tcW w:w="2453" w:type="dxa"/>
          </w:tcPr>
          <w:p w14:paraId="0857FB7B">
            <w:pPr>
              <w:rPr>
                <w:rFonts w:ascii="宋体" w:hAnsi="宋体"/>
                <w:b/>
                <w:kern w:val="0"/>
                <w:sz w:val="24"/>
                <w:lang w:bidi="en-US"/>
              </w:rPr>
            </w:pPr>
          </w:p>
        </w:tc>
      </w:tr>
      <w:tr w14:paraId="7D21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3B533EFA">
            <w:pPr>
              <w:rPr>
                <w:rFonts w:ascii="宋体" w:hAnsi="宋体"/>
              </w:rPr>
            </w:pPr>
            <w:r>
              <w:rPr>
                <w:rFonts w:hint="eastAsia" w:ascii="新宋体" w:hAnsi="新宋体" w:eastAsia="新宋体"/>
                <w:sz w:val="24"/>
              </w:rPr>
              <w:t>商务偏离表</w:t>
            </w:r>
          </w:p>
        </w:tc>
        <w:tc>
          <w:tcPr>
            <w:tcW w:w="2453" w:type="dxa"/>
          </w:tcPr>
          <w:p w14:paraId="68DAF400">
            <w:pPr>
              <w:rPr>
                <w:rFonts w:ascii="宋体" w:hAnsi="宋体"/>
                <w:b/>
                <w:kern w:val="0"/>
                <w:sz w:val="24"/>
                <w:lang w:bidi="en-US"/>
              </w:rPr>
            </w:pPr>
          </w:p>
        </w:tc>
      </w:tr>
      <w:tr w14:paraId="3513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55E8D645">
            <w:pPr>
              <w:rPr>
                <w:rFonts w:ascii="宋体" w:hAnsi="宋体"/>
                <w:b/>
              </w:rPr>
            </w:pPr>
            <w:r>
              <w:rPr>
                <w:rFonts w:hint="eastAsia" w:ascii="新宋体" w:hAnsi="新宋体" w:eastAsia="新宋体"/>
                <w:sz w:val="24"/>
              </w:rPr>
              <w:t>技术规格偏离表</w:t>
            </w:r>
          </w:p>
        </w:tc>
        <w:tc>
          <w:tcPr>
            <w:tcW w:w="2453" w:type="dxa"/>
          </w:tcPr>
          <w:p w14:paraId="10F0B135">
            <w:pPr>
              <w:rPr>
                <w:rFonts w:ascii="宋体" w:hAnsi="宋体"/>
                <w:b/>
                <w:kern w:val="0"/>
                <w:sz w:val="24"/>
                <w:lang w:bidi="en-US"/>
              </w:rPr>
            </w:pPr>
          </w:p>
        </w:tc>
      </w:tr>
      <w:tr w14:paraId="1163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7CF56A12">
            <w:pPr>
              <w:pStyle w:val="68"/>
              <w:shd w:val="clear" w:color="auto" w:fill="FFFFFF"/>
              <w:spacing w:line="265" w:lineRule="atLeast"/>
              <w:ind w:firstLine="0" w:firstLineChars="0"/>
              <w:rPr>
                <w:rFonts w:ascii="宋体" w:hAnsi="宋体"/>
                <w:sz w:val="24"/>
                <w:szCs w:val="24"/>
              </w:rPr>
            </w:pPr>
            <w:r>
              <w:rPr>
                <w:rFonts w:hint="eastAsia" w:ascii="宋体" w:hAnsi="宋体"/>
                <w:sz w:val="24"/>
                <w:szCs w:val="24"/>
              </w:rPr>
              <w:t>有效的</w:t>
            </w:r>
            <w:r>
              <w:rPr>
                <w:rFonts w:ascii="宋体" w:hAnsi="宋体"/>
                <w:sz w:val="24"/>
                <w:szCs w:val="24"/>
              </w:rPr>
              <w:t>营业执照</w:t>
            </w:r>
          </w:p>
        </w:tc>
        <w:tc>
          <w:tcPr>
            <w:tcW w:w="2453" w:type="dxa"/>
          </w:tcPr>
          <w:p w14:paraId="3E900CF0">
            <w:pPr>
              <w:rPr>
                <w:rFonts w:ascii="宋体" w:hAnsi="宋体"/>
                <w:b/>
                <w:kern w:val="0"/>
                <w:sz w:val="24"/>
                <w:lang w:bidi="en-US"/>
              </w:rPr>
            </w:pPr>
          </w:p>
        </w:tc>
      </w:tr>
      <w:tr w14:paraId="6975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5ABDA97D">
            <w:pPr>
              <w:rPr>
                <w:rFonts w:ascii="宋体" w:hAnsi="宋体"/>
              </w:rPr>
            </w:pPr>
            <w:r>
              <w:rPr>
                <w:rFonts w:hint="eastAsia" w:ascii="新宋体" w:hAnsi="新宋体" w:eastAsia="新宋体"/>
                <w:sz w:val="24"/>
              </w:rPr>
              <w:t>法定代表人身份证明书</w:t>
            </w:r>
          </w:p>
        </w:tc>
        <w:tc>
          <w:tcPr>
            <w:tcW w:w="2453" w:type="dxa"/>
          </w:tcPr>
          <w:p w14:paraId="5093A8EF">
            <w:pPr>
              <w:pStyle w:val="68"/>
              <w:shd w:val="clear" w:color="auto" w:fill="FFFFFF"/>
              <w:spacing w:line="265" w:lineRule="atLeast"/>
              <w:ind w:left="420"/>
              <w:rPr>
                <w:rFonts w:ascii="宋体" w:hAnsi="宋体"/>
              </w:rPr>
            </w:pPr>
          </w:p>
        </w:tc>
      </w:tr>
      <w:tr w14:paraId="793D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5E71982F">
            <w:pPr>
              <w:rPr>
                <w:rFonts w:ascii="宋体" w:hAnsi="宋体"/>
              </w:rPr>
            </w:pPr>
            <w:r>
              <w:rPr>
                <w:rFonts w:hint="eastAsia" w:ascii="新宋体" w:hAnsi="新宋体" w:eastAsia="新宋体"/>
                <w:sz w:val="24"/>
              </w:rPr>
              <w:t>法定代表人授权委托书</w:t>
            </w:r>
          </w:p>
        </w:tc>
        <w:tc>
          <w:tcPr>
            <w:tcW w:w="2453" w:type="dxa"/>
          </w:tcPr>
          <w:p w14:paraId="67C5503B">
            <w:pPr>
              <w:rPr>
                <w:rFonts w:ascii="宋体" w:hAnsi="宋体"/>
              </w:rPr>
            </w:pPr>
          </w:p>
        </w:tc>
      </w:tr>
      <w:tr w14:paraId="50C3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126D73AA">
            <w:pPr>
              <w:rPr>
                <w:rFonts w:ascii="宋体" w:hAnsi="宋体"/>
              </w:rPr>
            </w:pPr>
            <w:r>
              <w:rPr>
                <w:rFonts w:hint="eastAsia" w:ascii="宋体" w:hAnsi="宋体"/>
                <w:sz w:val="24"/>
              </w:rPr>
              <w:t>投标申请及声明</w:t>
            </w:r>
          </w:p>
        </w:tc>
        <w:tc>
          <w:tcPr>
            <w:tcW w:w="2453" w:type="dxa"/>
          </w:tcPr>
          <w:p w14:paraId="10CED473">
            <w:pPr>
              <w:rPr>
                <w:rFonts w:ascii="宋体" w:hAnsi="宋体"/>
              </w:rPr>
            </w:pPr>
          </w:p>
        </w:tc>
      </w:tr>
      <w:tr w14:paraId="4DB0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7BAAE6A2">
            <w:pPr>
              <w:rPr>
                <w:rFonts w:ascii="宋体" w:hAnsi="宋体"/>
              </w:rPr>
            </w:pPr>
            <w:r>
              <w:rPr>
                <w:rFonts w:hint="eastAsia" w:ascii="宋体" w:hAnsi="宋体"/>
                <w:bCs/>
                <w:sz w:val="24"/>
              </w:rPr>
              <w:t>投标人资格声明</w:t>
            </w:r>
          </w:p>
        </w:tc>
        <w:tc>
          <w:tcPr>
            <w:tcW w:w="2453" w:type="dxa"/>
          </w:tcPr>
          <w:p w14:paraId="727D2838">
            <w:pPr>
              <w:rPr>
                <w:rFonts w:ascii="宋体" w:hAnsi="宋体"/>
              </w:rPr>
            </w:pPr>
          </w:p>
        </w:tc>
      </w:tr>
      <w:tr w14:paraId="158F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19220FBC">
            <w:pPr>
              <w:rPr>
                <w:rFonts w:ascii="宋体" w:hAnsi="宋体"/>
              </w:rPr>
            </w:pPr>
            <w:r>
              <w:rPr>
                <w:rFonts w:hint="eastAsia" w:ascii="新宋体" w:hAnsi="新宋体" w:eastAsia="新宋体"/>
                <w:sz w:val="24"/>
              </w:rPr>
              <w:t>参加政府采购活动前三年内在经营活动中没有重大违法记录的书面声明</w:t>
            </w:r>
          </w:p>
        </w:tc>
        <w:tc>
          <w:tcPr>
            <w:tcW w:w="2453" w:type="dxa"/>
          </w:tcPr>
          <w:p w14:paraId="1C143B02">
            <w:pPr>
              <w:rPr>
                <w:rFonts w:ascii="宋体" w:hAnsi="宋体"/>
              </w:rPr>
            </w:pPr>
          </w:p>
        </w:tc>
      </w:tr>
      <w:tr w14:paraId="3A94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750BC994">
            <w:pPr>
              <w:rPr>
                <w:rFonts w:ascii="宋体" w:hAnsi="宋体" w:cs="宋体"/>
                <w:kern w:val="0"/>
                <w:sz w:val="24"/>
              </w:rPr>
            </w:pPr>
            <w:r>
              <w:rPr>
                <w:rFonts w:hint="eastAsia" w:ascii="宋体" w:hAnsi="宋体" w:cs="宋体"/>
                <w:kern w:val="0"/>
                <w:sz w:val="24"/>
              </w:rPr>
              <w:t>依法缴纳税收和社会保障金的相关材料</w:t>
            </w:r>
          </w:p>
        </w:tc>
        <w:tc>
          <w:tcPr>
            <w:tcW w:w="2453" w:type="dxa"/>
          </w:tcPr>
          <w:p w14:paraId="619D0620">
            <w:pPr>
              <w:pStyle w:val="68"/>
              <w:shd w:val="clear" w:color="auto" w:fill="FFFFFF"/>
              <w:spacing w:line="265" w:lineRule="atLeast"/>
              <w:ind w:left="420"/>
              <w:rPr>
                <w:rFonts w:ascii="宋体" w:hAnsi="宋体"/>
              </w:rPr>
            </w:pPr>
          </w:p>
        </w:tc>
      </w:tr>
      <w:tr w14:paraId="0E51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9BEFAB8">
            <w:pPr>
              <w:rPr>
                <w:rFonts w:ascii="宋体" w:hAnsi="宋体"/>
              </w:rPr>
            </w:pPr>
            <w:r>
              <w:rPr>
                <w:rFonts w:hint="eastAsia" w:ascii="新宋体" w:hAnsi="新宋体" w:eastAsia="新宋体"/>
                <w:sz w:val="24"/>
              </w:rPr>
              <w:t>投标供应商提</w:t>
            </w:r>
            <w:r>
              <w:rPr>
                <w:rFonts w:hint="eastAsia" w:ascii="新宋体" w:hAnsi="新宋体" w:eastAsia="新宋体"/>
                <w:sz w:val="24"/>
                <w:szCs w:val="22"/>
              </w:rPr>
              <w:t>供</w:t>
            </w:r>
            <w:r>
              <w:rPr>
                <w:rFonts w:hint="eastAsia" w:ascii="宋体" w:hAnsi="宋体" w:cs="宋体"/>
                <w:kern w:val="0"/>
                <w:sz w:val="24"/>
                <w:szCs w:val="24"/>
              </w:rPr>
              <w:t>软件企业认定证书及软件著作权证书</w:t>
            </w:r>
          </w:p>
        </w:tc>
        <w:tc>
          <w:tcPr>
            <w:tcW w:w="2453" w:type="dxa"/>
          </w:tcPr>
          <w:p w14:paraId="50F8FB7B">
            <w:pPr>
              <w:rPr>
                <w:rFonts w:ascii="宋体" w:hAnsi="宋体"/>
              </w:rPr>
            </w:pPr>
          </w:p>
        </w:tc>
      </w:tr>
      <w:tr w14:paraId="4B61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6D782A3E">
            <w:pPr>
              <w:rPr>
                <w:rFonts w:ascii="宋体" w:hAnsi="宋体"/>
              </w:rPr>
            </w:pPr>
            <w:r>
              <w:rPr>
                <w:rFonts w:hint="eastAsia" w:ascii="新宋体" w:hAnsi="新宋体" w:eastAsia="新宋体"/>
                <w:sz w:val="24"/>
              </w:rPr>
              <w:t>具备履行合同所必需的设备和专业技术能力的书面声明</w:t>
            </w:r>
          </w:p>
        </w:tc>
        <w:tc>
          <w:tcPr>
            <w:tcW w:w="2453" w:type="dxa"/>
          </w:tcPr>
          <w:p w14:paraId="2D27D1CF">
            <w:pPr>
              <w:rPr>
                <w:rFonts w:ascii="宋体" w:hAnsi="宋体"/>
              </w:rPr>
            </w:pPr>
          </w:p>
        </w:tc>
      </w:tr>
      <w:tr w14:paraId="75C0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789" w:type="dxa"/>
            <w:gridSpan w:val="2"/>
          </w:tcPr>
          <w:p w14:paraId="318A09AC">
            <w:pPr>
              <w:rPr>
                <w:rFonts w:ascii="宋体" w:hAnsi="宋体"/>
              </w:rPr>
            </w:pPr>
            <w:r>
              <w:rPr>
                <w:rFonts w:hint="eastAsia" w:ascii="新宋体" w:hAnsi="新宋体" w:eastAsia="新宋体"/>
                <w:b/>
                <w:bCs/>
                <w:sz w:val="24"/>
                <w:szCs w:val="22"/>
              </w:rPr>
              <w:t>产品情况</w:t>
            </w:r>
          </w:p>
        </w:tc>
      </w:tr>
      <w:tr w14:paraId="767B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3663D11E">
            <w:pPr>
              <w:pStyle w:val="68"/>
              <w:shd w:val="clear" w:color="auto" w:fill="FFFFFF"/>
              <w:spacing w:line="265" w:lineRule="atLeast"/>
              <w:ind w:firstLine="0" w:firstLineChars="0"/>
              <w:jc w:val="left"/>
              <w:rPr>
                <w:rFonts w:ascii="宋体" w:hAnsi="宋体"/>
              </w:rPr>
            </w:pPr>
            <w:r>
              <w:rPr>
                <w:rFonts w:hint="eastAsia" w:ascii="宋体" w:hAnsi="宋体"/>
              </w:rPr>
              <w:t>产品配置清单及选配件清单</w:t>
            </w:r>
          </w:p>
        </w:tc>
        <w:tc>
          <w:tcPr>
            <w:tcW w:w="2453" w:type="dxa"/>
          </w:tcPr>
          <w:p w14:paraId="09F069BF">
            <w:pPr>
              <w:rPr>
                <w:rFonts w:ascii="宋体" w:hAnsi="宋体"/>
              </w:rPr>
            </w:pPr>
          </w:p>
        </w:tc>
      </w:tr>
      <w:tr w14:paraId="260B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60006714">
            <w:pPr>
              <w:pStyle w:val="68"/>
              <w:shd w:val="clear" w:color="auto" w:fill="FFFFFF"/>
              <w:spacing w:line="265" w:lineRule="atLeast"/>
              <w:ind w:firstLine="0" w:firstLineChars="0"/>
              <w:jc w:val="left"/>
              <w:rPr>
                <w:rFonts w:ascii="宋体" w:hAnsi="宋体"/>
              </w:rPr>
            </w:pPr>
            <w:r>
              <w:rPr>
                <w:rFonts w:hint="eastAsia" w:ascii="宋体" w:hAnsi="宋体"/>
              </w:rPr>
              <w:t>产品质量及售后服务承诺</w:t>
            </w:r>
          </w:p>
        </w:tc>
        <w:tc>
          <w:tcPr>
            <w:tcW w:w="2453" w:type="dxa"/>
          </w:tcPr>
          <w:p w14:paraId="67D8190B">
            <w:pPr>
              <w:rPr>
                <w:rFonts w:ascii="宋体" w:hAnsi="宋体"/>
              </w:rPr>
            </w:pPr>
          </w:p>
        </w:tc>
      </w:tr>
      <w:tr w14:paraId="6BD3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150B12A">
            <w:pPr>
              <w:pStyle w:val="68"/>
              <w:shd w:val="clear" w:color="auto" w:fill="FFFFFF"/>
              <w:spacing w:line="265" w:lineRule="atLeast"/>
              <w:ind w:firstLine="0" w:firstLineChars="0"/>
              <w:jc w:val="left"/>
              <w:rPr>
                <w:rFonts w:ascii="宋体" w:hAnsi="宋体"/>
              </w:rPr>
            </w:pPr>
            <w:r>
              <w:rPr>
                <w:rFonts w:hint="eastAsia" w:ascii="宋体" w:hAnsi="宋体"/>
              </w:rPr>
              <w:t>培训计划方案等和出保以后的</w:t>
            </w:r>
            <w:r>
              <w:rPr>
                <w:rFonts w:hint="eastAsia" w:ascii="宋体" w:hAnsi="宋体"/>
                <w:u w:val="single"/>
              </w:rPr>
              <w:t>维保价格</w:t>
            </w:r>
          </w:p>
        </w:tc>
        <w:tc>
          <w:tcPr>
            <w:tcW w:w="2453" w:type="dxa"/>
          </w:tcPr>
          <w:p w14:paraId="568966C3">
            <w:pPr>
              <w:rPr>
                <w:rFonts w:ascii="宋体" w:hAnsi="宋体"/>
              </w:rPr>
            </w:pPr>
          </w:p>
        </w:tc>
      </w:tr>
      <w:tr w14:paraId="26AB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2A233818">
            <w:pPr>
              <w:pStyle w:val="68"/>
              <w:shd w:val="clear" w:color="auto" w:fill="FFFFFF"/>
              <w:spacing w:line="265" w:lineRule="atLeast"/>
              <w:ind w:firstLine="0" w:firstLineChars="0"/>
              <w:jc w:val="left"/>
              <w:rPr>
                <w:rFonts w:ascii="宋体" w:hAnsi="宋体"/>
              </w:rPr>
            </w:pPr>
            <w:r>
              <w:rPr>
                <w:rFonts w:hint="eastAsia" w:ascii="宋体" w:hAnsi="宋体"/>
              </w:rPr>
              <w:t>本次投标产品成交情况（合同或发票）</w:t>
            </w:r>
          </w:p>
        </w:tc>
        <w:tc>
          <w:tcPr>
            <w:tcW w:w="2453" w:type="dxa"/>
          </w:tcPr>
          <w:p w14:paraId="27C09B76">
            <w:pPr>
              <w:pStyle w:val="68"/>
              <w:shd w:val="clear" w:color="auto" w:fill="FFFFFF"/>
              <w:spacing w:line="265" w:lineRule="atLeast"/>
              <w:ind w:left="420" w:firstLine="422"/>
              <w:rPr>
                <w:rFonts w:ascii="宋体" w:hAnsi="宋体"/>
                <w:b/>
              </w:rPr>
            </w:pPr>
          </w:p>
        </w:tc>
      </w:tr>
      <w:tr w14:paraId="0E56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210B6FD8">
            <w:pPr>
              <w:pStyle w:val="68"/>
              <w:shd w:val="clear" w:color="auto" w:fill="FFFFFF"/>
              <w:spacing w:line="265" w:lineRule="atLeast"/>
              <w:ind w:firstLine="0" w:firstLineChars="0"/>
              <w:jc w:val="left"/>
              <w:rPr>
                <w:rFonts w:ascii="宋体" w:hAnsi="宋体"/>
              </w:rPr>
            </w:pPr>
            <w:r>
              <w:rPr>
                <w:rFonts w:hint="eastAsia" w:ascii="宋体" w:hAnsi="宋体"/>
              </w:rPr>
              <w:t>产品用户名单</w:t>
            </w:r>
          </w:p>
        </w:tc>
        <w:tc>
          <w:tcPr>
            <w:tcW w:w="2453" w:type="dxa"/>
          </w:tcPr>
          <w:p w14:paraId="686BED9B">
            <w:pPr>
              <w:rPr>
                <w:rFonts w:ascii="宋体" w:hAnsi="宋体"/>
              </w:rPr>
            </w:pPr>
          </w:p>
        </w:tc>
      </w:tr>
      <w:tr w14:paraId="0154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8AFAAFA">
            <w:pPr>
              <w:pStyle w:val="68"/>
              <w:shd w:val="clear" w:color="auto" w:fill="FFFFFF"/>
              <w:spacing w:line="265" w:lineRule="atLeast"/>
              <w:ind w:firstLine="0" w:firstLineChars="0"/>
              <w:jc w:val="left"/>
              <w:rPr>
                <w:rFonts w:ascii="宋体" w:hAnsi="宋体"/>
              </w:rPr>
            </w:pPr>
            <w:r>
              <w:rPr>
                <w:rFonts w:hint="eastAsia" w:ascii="宋体" w:hAnsi="宋体"/>
              </w:rPr>
              <w:t xml:space="preserve">投标供应商认为有必要提供的其他资料  </w:t>
            </w:r>
          </w:p>
        </w:tc>
        <w:tc>
          <w:tcPr>
            <w:tcW w:w="2453" w:type="dxa"/>
          </w:tcPr>
          <w:p w14:paraId="08FE64EA">
            <w:pPr>
              <w:rPr>
                <w:rFonts w:ascii="宋体" w:hAnsi="宋体"/>
              </w:rPr>
            </w:pPr>
          </w:p>
        </w:tc>
      </w:tr>
      <w:tr w14:paraId="18FD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44844F4A">
            <w:pPr>
              <w:rPr>
                <w:rFonts w:ascii="宋体" w:hAnsi="宋体"/>
              </w:rPr>
            </w:pPr>
          </w:p>
        </w:tc>
        <w:tc>
          <w:tcPr>
            <w:tcW w:w="2453" w:type="dxa"/>
          </w:tcPr>
          <w:p w14:paraId="73F7370D">
            <w:pPr>
              <w:rPr>
                <w:rFonts w:ascii="宋体" w:hAnsi="宋体"/>
              </w:rPr>
            </w:pPr>
          </w:p>
        </w:tc>
      </w:tr>
      <w:tr w14:paraId="19DB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42B7CC8D">
            <w:pPr>
              <w:rPr>
                <w:rFonts w:ascii="宋体" w:hAnsi="宋体"/>
              </w:rPr>
            </w:pPr>
          </w:p>
        </w:tc>
        <w:tc>
          <w:tcPr>
            <w:tcW w:w="2453" w:type="dxa"/>
          </w:tcPr>
          <w:p w14:paraId="0C6F3F97">
            <w:pPr>
              <w:rPr>
                <w:rFonts w:ascii="宋体" w:hAnsi="宋体"/>
              </w:rPr>
            </w:pPr>
          </w:p>
        </w:tc>
      </w:tr>
      <w:tr w14:paraId="5A53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62312DB7">
            <w:pPr>
              <w:rPr>
                <w:rFonts w:ascii="宋体" w:hAnsi="宋体"/>
                <w:b/>
              </w:rPr>
            </w:pPr>
          </w:p>
        </w:tc>
        <w:tc>
          <w:tcPr>
            <w:tcW w:w="2453" w:type="dxa"/>
          </w:tcPr>
          <w:p w14:paraId="5C6D9A76">
            <w:pPr>
              <w:rPr>
                <w:rFonts w:ascii="宋体" w:hAnsi="宋体"/>
              </w:rPr>
            </w:pPr>
          </w:p>
        </w:tc>
      </w:tr>
      <w:tr w14:paraId="6309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Borders>
              <w:bottom w:val="single" w:color="auto" w:sz="4" w:space="0"/>
            </w:tcBorders>
          </w:tcPr>
          <w:p w14:paraId="4F7695E0">
            <w:pPr>
              <w:pStyle w:val="68"/>
              <w:shd w:val="clear" w:color="auto" w:fill="FFFFFF"/>
              <w:spacing w:line="265" w:lineRule="atLeast"/>
              <w:ind w:firstLine="0" w:firstLineChars="0"/>
              <w:rPr>
                <w:rFonts w:ascii="宋体" w:hAnsi="宋体"/>
                <w:sz w:val="24"/>
                <w:szCs w:val="24"/>
              </w:rPr>
            </w:pPr>
          </w:p>
        </w:tc>
        <w:tc>
          <w:tcPr>
            <w:tcW w:w="2453" w:type="dxa"/>
            <w:tcBorders>
              <w:bottom w:val="single" w:color="auto" w:sz="4" w:space="0"/>
            </w:tcBorders>
          </w:tcPr>
          <w:p w14:paraId="302BD420">
            <w:pPr>
              <w:rPr>
                <w:rFonts w:ascii="宋体" w:hAnsi="宋体"/>
              </w:rPr>
            </w:pPr>
          </w:p>
        </w:tc>
      </w:tr>
    </w:tbl>
    <w:p w14:paraId="46AEFD1C">
      <w:pPr>
        <w:rPr>
          <w:rFonts w:ascii="宋体" w:hAnsi="宋体"/>
        </w:rPr>
      </w:pPr>
    </w:p>
    <w:p w14:paraId="2AC7456F">
      <w:pPr>
        <w:rPr>
          <w:b/>
          <w:sz w:val="28"/>
          <w:szCs w:val="28"/>
        </w:rPr>
      </w:pPr>
      <w:r>
        <w:rPr>
          <w:rFonts w:hint="eastAsia" w:ascii="宋体" w:hAnsi="宋体"/>
        </w:rPr>
        <w:t>注：按照第四章投标文件格式中资格审查评审标准的项目顺序，逐项列出对应的“采购文件中的页码位置”。</w:t>
      </w:r>
    </w:p>
    <w:p w14:paraId="0DFD41F2">
      <w:pPr>
        <w:spacing w:line="500" w:lineRule="exact"/>
        <w:rPr>
          <w:rFonts w:ascii="宋体" w:hAnsi="宋体" w:cs="宋体"/>
          <w:b/>
          <w:sz w:val="28"/>
          <w:szCs w:val="28"/>
        </w:rPr>
      </w:pPr>
    </w:p>
    <w:p w14:paraId="7CD508E7">
      <w:pPr>
        <w:spacing w:line="500" w:lineRule="exact"/>
        <w:rPr>
          <w:rFonts w:ascii="宋体" w:hAnsi="宋体" w:cs="宋体"/>
          <w:b/>
          <w:sz w:val="28"/>
          <w:szCs w:val="28"/>
        </w:rPr>
      </w:pPr>
    </w:p>
    <w:p w14:paraId="022E9685">
      <w:pPr>
        <w:spacing w:line="500" w:lineRule="exact"/>
        <w:rPr>
          <w:rFonts w:ascii="宋体" w:hAnsi="宋体" w:cs="宋体"/>
          <w:b/>
          <w:sz w:val="28"/>
          <w:szCs w:val="28"/>
        </w:rPr>
      </w:pPr>
      <w:r>
        <w:rPr>
          <w:rFonts w:hint="eastAsia" w:ascii="宋体" w:hAnsi="宋体" w:cs="宋体"/>
          <w:b/>
          <w:sz w:val="28"/>
          <w:szCs w:val="28"/>
        </w:rPr>
        <w:t>附件一：</w:t>
      </w:r>
    </w:p>
    <w:p w14:paraId="253AA4A9">
      <w:pPr>
        <w:pStyle w:val="2"/>
        <w:rPr>
          <w:rFonts w:ascii="宋体" w:hAnsi="宋体" w:cs="宋体"/>
          <w:b/>
          <w:sz w:val="36"/>
          <w:szCs w:val="36"/>
        </w:rPr>
      </w:pPr>
    </w:p>
    <w:p w14:paraId="3B56D0BA">
      <w:pPr>
        <w:pStyle w:val="69"/>
        <w:spacing w:after="0" w:line="500" w:lineRule="exact"/>
        <w:rPr>
          <w:rFonts w:ascii="宋体" w:hAnsi="宋体" w:cs="宋体"/>
          <w:b/>
          <w:sz w:val="36"/>
          <w:szCs w:val="36"/>
        </w:rPr>
      </w:pPr>
      <w:r>
        <w:rPr>
          <w:rFonts w:hint="eastAsia" w:ascii="宋体" w:hAnsi="宋体" w:cs="宋体"/>
          <w:b/>
          <w:sz w:val="36"/>
          <w:szCs w:val="36"/>
        </w:rPr>
        <w:t>法定代表人身份证明书</w:t>
      </w:r>
    </w:p>
    <w:p w14:paraId="60D86739">
      <w:pPr>
        <w:pStyle w:val="6"/>
        <w:spacing w:line="500" w:lineRule="exact"/>
        <w:ind w:firstLine="0"/>
        <w:jc w:val="center"/>
        <w:rPr>
          <w:rFonts w:ascii="宋体" w:hAnsi="宋体" w:cs="宋体"/>
        </w:rPr>
      </w:pPr>
    </w:p>
    <w:p w14:paraId="67BCF043">
      <w:pPr>
        <w:pStyle w:val="6"/>
        <w:ind w:firstLine="480" w:firstLineChars="200"/>
        <w:rPr>
          <w:rFonts w:ascii="宋体" w:hAnsi="宋体" w:cs="宋体"/>
        </w:rPr>
      </w:pPr>
      <w:r>
        <w:rPr>
          <w:rFonts w:hint="eastAsia" w:ascii="宋体" w:hAnsi="宋体" w:cs="宋体"/>
        </w:rPr>
        <w:t>单位名称：</w:t>
      </w:r>
      <w:r>
        <w:rPr>
          <w:rFonts w:hint="eastAsia" w:ascii="宋体" w:hAnsi="宋体" w:cs="宋体"/>
          <w:sz w:val="30"/>
          <w:u w:val="single"/>
        </w:rPr>
        <w:t xml:space="preserve">         　　　　　　　　</w:t>
      </w:r>
    </w:p>
    <w:p w14:paraId="79CE4ED6">
      <w:pPr>
        <w:pStyle w:val="6"/>
        <w:ind w:firstLine="480" w:firstLineChars="200"/>
        <w:rPr>
          <w:rFonts w:ascii="宋体" w:hAnsi="宋体" w:cs="宋体"/>
        </w:rPr>
      </w:pPr>
      <w:r>
        <w:rPr>
          <w:rFonts w:hint="eastAsia" w:ascii="宋体" w:hAnsi="宋体" w:cs="宋体"/>
        </w:rPr>
        <w:t>单位性质：</w:t>
      </w:r>
      <w:r>
        <w:rPr>
          <w:rFonts w:hint="eastAsia" w:ascii="宋体" w:hAnsi="宋体" w:cs="宋体"/>
          <w:sz w:val="30"/>
          <w:u w:val="single"/>
        </w:rPr>
        <w:t xml:space="preserve">         　　　　　　　　</w:t>
      </w:r>
    </w:p>
    <w:p w14:paraId="480B37FA">
      <w:pPr>
        <w:pStyle w:val="6"/>
        <w:ind w:firstLine="480" w:firstLineChars="200"/>
        <w:rPr>
          <w:rFonts w:ascii="宋体" w:hAnsi="宋体" w:cs="宋体"/>
        </w:rPr>
      </w:pPr>
      <w:r>
        <w:rPr>
          <w:rFonts w:hint="eastAsia" w:ascii="宋体" w:hAnsi="宋体" w:cs="宋体"/>
        </w:rPr>
        <w:t>地    址：</w:t>
      </w:r>
      <w:r>
        <w:rPr>
          <w:rFonts w:hint="eastAsia" w:ascii="宋体" w:hAnsi="宋体" w:cs="宋体"/>
          <w:sz w:val="30"/>
          <w:u w:val="single"/>
        </w:rPr>
        <w:t xml:space="preserve">         　　　　　　　　</w:t>
      </w:r>
    </w:p>
    <w:p w14:paraId="18F6126D">
      <w:pPr>
        <w:pStyle w:val="6"/>
        <w:ind w:firstLine="480" w:firstLineChars="200"/>
        <w:rPr>
          <w:rFonts w:ascii="宋体" w:hAnsi="宋体" w:cs="宋体"/>
          <w:u w:val="single"/>
        </w:rPr>
      </w:pPr>
      <w:r>
        <w:rPr>
          <w:rFonts w:hint="eastAsia" w:ascii="宋体" w:hAnsi="宋体" w:cs="宋体"/>
        </w:rPr>
        <w:t xml:space="preserve">成立时间： </w:t>
      </w:r>
      <w:r>
        <w:rPr>
          <w:rFonts w:hint="eastAsia" w:ascii="宋体" w:hAnsi="宋体" w:cs="宋体"/>
          <w:u w:val="single"/>
        </w:rPr>
        <w:t xml:space="preserve"> 年  月  日</w:t>
      </w:r>
      <w:r>
        <w:rPr>
          <w:rFonts w:hint="eastAsia" w:ascii="宋体" w:hAnsi="宋体" w:cs="宋体"/>
          <w:sz w:val="30"/>
          <w:u w:val="single"/>
        </w:rPr>
        <w:t>　　</w:t>
      </w:r>
    </w:p>
    <w:p w14:paraId="0A60CE4B">
      <w:pPr>
        <w:pStyle w:val="6"/>
        <w:ind w:firstLine="480" w:firstLineChars="200"/>
        <w:rPr>
          <w:rFonts w:ascii="宋体" w:hAnsi="宋体" w:cs="宋体"/>
        </w:rPr>
      </w:pPr>
      <w:r>
        <w:rPr>
          <w:rFonts w:hint="eastAsia" w:ascii="宋体" w:hAnsi="宋体" w:cs="宋体"/>
        </w:rPr>
        <w:t>经营期限：</w:t>
      </w:r>
      <w:r>
        <w:rPr>
          <w:rFonts w:hint="eastAsia" w:ascii="宋体" w:hAnsi="宋体" w:cs="宋体"/>
          <w:sz w:val="30"/>
          <w:u w:val="single"/>
        </w:rPr>
        <w:t xml:space="preserve">       　　　　　　 　　</w:t>
      </w:r>
    </w:p>
    <w:p w14:paraId="2787B74B">
      <w:pPr>
        <w:pStyle w:val="6"/>
        <w:ind w:firstLine="480" w:firstLineChars="200"/>
        <w:rPr>
          <w:rFonts w:ascii="宋体" w:hAnsi="宋体" w:cs="宋体"/>
        </w:rPr>
      </w:pPr>
      <w:r>
        <w:rPr>
          <w:rFonts w:hint="eastAsia" w:ascii="宋体" w:hAnsi="宋体" w:cs="宋体"/>
        </w:rPr>
        <w:t>姓    名：</w:t>
      </w:r>
      <w:r>
        <w:rPr>
          <w:rFonts w:hint="eastAsia" w:ascii="宋体" w:hAnsi="宋体" w:cs="宋体"/>
          <w:sz w:val="30"/>
          <w:u w:val="single"/>
        </w:rPr>
        <w:t xml:space="preserve">      　</w:t>
      </w:r>
      <w:r>
        <w:rPr>
          <w:rFonts w:hint="eastAsia" w:ascii="宋体" w:hAnsi="宋体" w:cs="宋体"/>
        </w:rPr>
        <w:t>性别：</w:t>
      </w:r>
      <w:r>
        <w:rPr>
          <w:rFonts w:hint="eastAsia" w:ascii="宋体" w:hAnsi="宋体" w:cs="宋体"/>
          <w:sz w:val="30"/>
          <w:u w:val="single"/>
        </w:rPr>
        <w:t xml:space="preserve">      　</w:t>
      </w:r>
      <w:r>
        <w:rPr>
          <w:rFonts w:hint="eastAsia" w:ascii="宋体" w:hAnsi="宋体" w:cs="宋体"/>
        </w:rPr>
        <w:t xml:space="preserve"> 年龄：</w:t>
      </w:r>
      <w:r>
        <w:rPr>
          <w:rFonts w:hint="eastAsia" w:ascii="宋体" w:hAnsi="宋体" w:cs="宋体"/>
          <w:sz w:val="30"/>
          <w:u w:val="single"/>
        </w:rPr>
        <w:t xml:space="preserve">      　</w:t>
      </w:r>
    </w:p>
    <w:p w14:paraId="3EC1C379">
      <w:pPr>
        <w:pStyle w:val="6"/>
        <w:ind w:firstLine="480" w:firstLineChars="200"/>
        <w:rPr>
          <w:rFonts w:ascii="宋体" w:hAnsi="宋体" w:cs="宋体"/>
        </w:rPr>
      </w:pPr>
      <w:r>
        <w:rPr>
          <w:rFonts w:hint="eastAsia" w:ascii="宋体" w:hAnsi="宋体" w:cs="宋体"/>
        </w:rPr>
        <w:t>职务： 系：</w:t>
      </w:r>
      <w:r>
        <w:rPr>
          <w:rFonts w:hint="eastAsia" w:ascii="宋体" w:hAnsi="宋体" w:cs="宋体"/>
          <w:u w:val="single"/>
        </w:rPr>
        <w:t xml:space="preserve">     (投标单位名称)           </w:t>
      </w:r>
      <w:r>
        <w:rPr>
          <w:rFonts w:hint="eastAsia" w:ascii="宋体" w:hAnsi="宋体" w:cs="宋体"/>
        </w:rPr>
        <w:t>的法定代表人。</w:t>
      </w:r>
    </w:p>
    <w:p w14:paraId="48DC3684">
      <w:pPr>
        <w:pStyle w:val="6"/>
        <w:ind w:firstLine="480" w:firstLineChars="200"/>
        <w:rPr>
          <w:rFonts w:ascii="宋体" w:hAnsi="宋体" w:cs="宋体"/>
        </w:rPr>
      </w:pPr>
    </w:p>
    <w:p w14:paraId="233778A6">
      <w:pPr>
        <w:pStyle w:val="6"/>
        <w:ind w:firstLine="480" w:firstLineChars="200"/>
        <w:rPr>
          <w:rFonts w:ascii="宋体" w:hAnsi="宋体" w:cs="宋体"/>
        </w:rPr>
      </w:pPr>
      <w:r>
        <w:rPr>
          <w:rFonts w:hint="eastAsia" w:ascii="宋体" w:hAnsi="宋体" w:cs="宋体"/>
        </w:rPr>
        <w:t>特此证明</w:t>
      </w:r>
    </w:p>
    <w:p w14:paraId="2E55CFE8">
      <w:pPr>
        <w:pStyle w:val="6"/>
        <w:ind w:firstLine="480" w:firstLineChars="200"/>
        <w:rPr>
          <w:rFonts w:ascii="宋体" w:hAnsi="宋体" w:cs="宋体"/>
        </w:rPr>
      </w:pPr>
    </w:p>
    <w:p w14:paraId="6A97E171">
      <w:pPr>
        <w:pStyle w:val="6"/>
        <w:ind w:firstLine="4800" w:firstLineChars="2000"/>
        <w:rPr>
          <w:rFonts w:ascii="宋体" w:hAnsi="宋体" w:cs="宋体"/>
        </w:rPr>
      </w:pPr>
      <w:r>
        <w:rPr>
          <w:rFonts w:hint="eastAsia" w:ascii="宋体" w:hAnsi="宋体" w:cs="宋体"/>
        </w:rPr>
        <w:t>投标单位全称(加盖公章)：</w:t>
      </w:r>
    </w:p>
    <w:p w14:paraId="507C264B">
      <w:pPr>
        <w:pStyle w:val="6"/>
        <w:ind w:firstLine="3840" w:firstLineChars="1600"/>
        <w:rPr>
          <w:rFonts w:ascii="宋体" w:hAnsi="宋体" w:cs="宋体"/>
        </w:rPr>
      </w:pPr>
    </w:p>
    <w:p w14:paraId="65485764">
      <w:pPr>
        <w:pStyle w:val="6"/>
        <w:ind w:firstLine="4800" w:firstLineChars="2000"/>
        <w:rPr>
          <w:rFonts w:ascii="宋体" w:hAnsi="宋体" w:cs="宋体"/>
        </w:rPr>
      </w:pPr>
      <w:r>
        <w:rPr>
          <w:rFonts w:hint="eastAsia" w:ascii="宋体" w:hAnsi="宋体" w:cs="宋体"/>
        </w:rPr>
        <w:t>年   月    日</w:t>
      </w:r>
    </w:p>
    <w:p w14:paraId="2E4D0C4E">
      <w:pPr>
        <w:pStyle w:val="39"/>
        <w:spacing w:before="0" w:beforeAutospacing="0" w:after="0" w:afterAutospacing="0" w:line="360" w:lineRule="auto"/>
        <w:jc w:val="both"/>
        <w:rPr>
          <w:b/>
          <w:bCs/>
        </w:rPr>
      </w:pPr>
    </w:p>
    <w:p w14:paraId="0AF063F1">
      <w:pPr>
        <w:pStyle w:val="39"/>
        <w:spacing w:before="0" w:beforeAutospacing="0" w:after="0" w:afterAutospacing="0" w:line="360" w:lineRule="auto"/>
        <w:jc w:val="both"/>
        <w:rPr>
          <w:b/>
          <w:bCs/>
          <w:sz w:val="28"/>
          <w:szCs w:val="28"/>
        </w:rPr>
      </w:pPr>
      <w:r>
        <w:rPr>
          <w:rFonts w:hint="eastAsia"/>
          <w:b/>
          <w:bCs/>
          <w:sz w:val="28"/>
          <w:szCs w:val="28"/>
        </w:rPr>
        <w:t>附法定代表人身份证正反面复印件</w:t>
      </w:r>
    </w:p>
    <w:p w14:paraId="51D4C5FE">
      <w:pPr>
        <w:pStyle w:val="39"/>
        <w:spacing w:before="0" w:beforeAutospacing="0" w:after="0" w:afterAutospacing="0" w:line="360" w:lineRule="auto"/>
        <w:jc w:val="both"/>
        <w:rPr>
          <w:b/>
          <w:bCs/>
          <w:sz w:val="28"/>
          <w:szCs w:val="28"/>
        </w:rPr>
      </w:pPr>
    </w:p>
    <w:p w14:paraId="64AEFAC6">
      <w:pPr>
        <w:pStyle w:val="39"/>
        <w:spacing w:before="0" w:beforeAutospacing="0" w:after="0" w:afterAutospacing="0" w:line="360" w:lineRule="auto"/>
        <w:jc w:val="both"/>
        <w:rPr>
          <w:b/>
          <w:bCs/>
          <w:sz w:val="28"/>
          <w:szCs w:val="28"/>
        </w:rPr>
      </w:pPr>
    </w:p>
    <w:p w14:paraId="5AEE7F22">
      <w:pPr>
        <w:pStyle w:val="39"/>
        <w:spacing w:before="0" w:beforeAutospacing="0" w:after="0" w:afterAutospacing="0" w:line="360" w:lineRule="auto"/>
        <w:jc w:val="both"/>
        <w:rPr>
          <w:b/>
          <w:bCs/>
          <w:sz w:val="28"/>
          <w:szCs w:val="28"/>
        </w:rPr>
      </w:pPr>
    </w:p>
    <w:p w14:paraId="09C4CBE4">
      <w:pPr>
        <w:pStyle w:val="39"/>
        <w:spacing w:before="0" w:beforeAutospacing="0" w:after="0" w:afterAutospacing="0" w:line="360" w:lineRule="auto"/>
        <w:jc w:val="both"/>
        <w:rPr>
          <w:b/>
          <w:bCs/>
          <w:sz w:val="28"/>
          <w:szCs w:val="28"/>
        </w:rPr>
      </w:pPr>
    </w:p>
    <w:p w14:paraId="58ED4A59">
      <w:pPr>
        <w:pStyle w:val="39"/>
        <w:spacing w:before="0" w:beforeAutospacing="0" w:after="0" w:afterAutospacing="0" w:line="360" w:lineRule="auto"/>
        <w:jc w:val="both"/>
        <w:rPr>
          <w:b/>
          <w:bCs/>
          <w:sz w:val="28"/>
          <w:szCs w:val="28"/>
        </w:rPr>
      </w:pPr>
    </w:p>
    <w:p w14:paraId="7D63F807">
      <w:pPr>
        <w:pStyle w:val="39"/>
        <w:spacing w:before="0" w:beforeAutospacing="0" w:after="0" w:afterAutospacing="0" w:line="360" w:lineRule="auto"/>
        <w:jc w:val="both"/>
        <w:rPr>
          <w:b/>
          <w:bCs/>
          <w:sz w:val="28"/>
          <w:szCs w:val="28"/>
        </w:rPr>
      </w:pPr>
    </w:p>
    <w:p w14:paraId="27F69769">
      <w:pPr>
        <w:pStyle w:val="39"/>
        <w:spacing w:before="0" w:beforeAutospacing="0" w:after="0" w:afterAutospacing="0" w:line="360" w:lineRule="auto"/>
        <w:jc w:val="both"/>
        <w:rPr>
          <w:b/>
          <w:bCs/>
          <w:sz w:val="28"/>
          <w:szCs w:val="28"/>
        </w:rPr>
      </w:pPr>
    </w:p>
    <w:p w14:paraId="70ABF9C4">
      <w:pPr>
        <w:pStyle w:val="39"/>
        <w:spacing w:before="0" w:beforeAutospacing="0" w:after="0" w:afterAutospacing="0" w:line="360" w:lineRule="auto"/>
        <w:jc w:val="both"/>
        <w:rPr>
          <w:b/>
          <w:bCs/>
          <w:sz w:val="28"/>
          <w:szCs w:val="28"/>
        </w:rPr>
      </w:pPr>
    </w:p>
    <w:p w14:paraId="5195C577">
      <w:pPr>
        <w:snapToGrid w:val="0"/>
        <w:spacing w:line="300" w:lineRule="exact"/>
        <w:rPr>
          <w:rFonts w:ascii="宋体" w:hAnsi="宋体" w:cs="宋体"/>
          <w:b/>
          <w:bCs/>
          <w:sz w:val="27"/>
        </w:rPr>
      </w:pPr>
    </w:p>
    <w:p w14:paraId="3037F485">
      <w:pPr>
        <w:snapToGrid w:val="0"/>
        <w:spacing w:line="300" w:lineRule="exact"/>
        <w:rPr>
          <w:rFonts w:ascii="宋体" w:hAnsi="宋体" w:cs="宋体"/>
          <w:b/>
          <w:bCs/>
          <w:sz w:val="27"/>
        </w:rPr>
      </w:pPr>
    </w:p>
    <w:p w14:paraId="40BF77B1">
      <w:pPr>
        <w:snapToGrid w:val="0"/>
        <w:spacing w:line="300" w:lineRule="exact"/>
        <w:rPr>
          <w:rFonts w:ascii="宋体" w:hAnsi="宋体" w:cs="宋体"/>
          <w:b/>
          <w:bCs/>
          <w:sz w:val="27"/>
        </w:rPr>
      </w:pPr>
    </w:p>
    <w:p w14:paraId="51A99C16">
      <w:pPr>
        <w:snapToGrid w:val="0"/>
        <w:spacing w:line="300" w:lineRule="exact"/>
        <w:rPr>
          <w:rFonts w:ascii="宋体" w:hAnsi="宋体" w:cs="宋体"/>
          <w:sz w:val="24"/>
        </w:rPr>
      </w:pPr>
      <w:r>
        <w:rPr>
          <w:rFonts w:hint="eastAsia" w:ascii="宋体" w:hAnsi="宋体" w:cs="宋体"/>
          <w:b/>
          <w:bCs/>
          <w:sz w:val="27"/>
        </w:rPr>
        <w:t>附件二：</w:t>
      </w:r>
    </w:p>
    <w:p w14:paraId="1D46E400">
      <w:pPr>
        <w:spacing w:line="500" w:lineRule="exact"/>
        <w:jc w:val="center"/>
        <w:rPr>
          <w:rFonts w:ascii="宋体" w:hAnsi="宋体" w:cs="宋体"/>
          <w:b/>
          <w:sz w:val="28"/>
          <w:szCs w:val="28"/>
        </w:rPr>
      </w:pPr>
      <w:r>
        <w:rPr>
          <w:rFonts w:hint="eastAsia" w:ascii="宋体" w:hAnsi="宋体" w:cs="宋体"/>
          <w:b/>
          <w:sz w:val="28"/>
          <w:szCs w:val="28"/>
        </w:rPr>
        <w:t>法 定 代 表 人授 权 委 托 书</w:t>
      </w:r>
    </w:p>
    <w:p w14:paraId="4F30EBAC">
      <w:pPr>
        <w:spacing w:line="500" w:lineRule="exact"/>
        <w:ind w:firstLine="480" w:firstLineChars="200"/>
        <w:rPr>
          <w:rFonts w:ascii="宋体" w:hAnsi="宋体" w:cs="宋体"/>
          <w:sz w:val="24"/>
        </w:rPr>
      </w:pPr>
    </w:p>
    <w:p w14:paraId="3863AA9F">
      <w:pPr>
        <w:spacing w:line="360" w:lineRule="auto"/>
        <w:rPr>
          <w:rFonts w:ascii="宋体" w:hAnsi="宋体" w:cs="宋体"/>
          <w:kern w:val="0"/>
          <w:sz w:val="27"/>
          <w:szCs w:val="27"/>
        </w:rPr>
      </w:pPr>
      <w:r>
        <w:rPr>
          <w:rFonts w:hint="eastAsia" w:ascii="宋体" w:hAnsi="宋体" w:cs="宋体"/>
          <w:kern w:val="0"/>
          <w:sz w:val="27"/>
          <w:szCs w:val="27"/>
        </w:rPr>
        <w:t>如东县中医院：</w:t>
      </w:r>
    </w:p>
    <w:p w14:paraId="32E0873C">
      <w:pPr>
        <w:spacing w:line="360" w:lineRule="auto"/>
        <w:rPr>
          <w:rFonts w:ascii="宋体" w:hAnsi="宋体" w:cs="宋体"/>
          <w:kern w:val="0"/>
          <w:sz w:val="27"/>
          <w:szCs w:val="27"/>
        </w:rPr>
      </w:pPr>
      <w:r>
        <w:rPr>
          <w:rFonts w:hint="eastAsia" w:ascii="宋体" w:hAnsi="宋体" w:cs="宋体"/>
          <w:kern w:val="0"/>
          <w:sz w:val="27"/>
          <w:szCs w:val="27"/>
        </w:rPr>
        <w:t xml:space="preserve">    本授权书声明：</w:t>
      </w:r>
    </w:p>
    <w:p w14:paraId="75DD9D45">
      <w:pPr>
        <w:widowControl/>
        <w:spacing w:line="360" w:lineRule="auto"/>
        <w:ind w:firstLine="540" w:firstLineChars="200"/>
        <w:jc w:val="left"/>
        <w:rPr>
          <w:rFonts w:ascii="宋体" w:hAnsi="宋体" w:cs="宋体"/>
          <w:b/>
          <w:bCs/>
          <w:sz w:val="27"/>
          <w:szCs w:val="27"/>
          <w:u w:val="single"/>
        </w:rPr>
      </w:pPr>
      <w:r>
        <w:rPr>
          <w:rFonts w:hint="eastAsia" w:ascii="宋体" w:hAnsi="宋体" w:cs="宋体"/>
          <w:kern w:val="0"/>
          <w:sz w:val="27"/>
          <w:szCs w:val="27"/>
        </w:rPr>
        <w:t>我</w:t>
      </w:r>
      <w:r>
        <w:rPr>
          <w:rFonts w:hint="eastAsia" w:ascii="宋体" w:hAnsi="宋体" w:cs="宋体"/>
          <w:kern w:val="0"/>
          <w:sz w:val="27"/>
          <w:szCs w:val="27"/>
          <w:u w:val="single"/>
        </w:rPr>
        <w:t xml:space="preserve">（姓名）             </w:t>
      </w:r>
      <w:r>
        <w:rPr>
          <w:rFonts w:hint="eastAsia" w:ascii="宋体" w:hAnsi="宋体" w:cs="宋体"/>
          <w:kern w:val="0"/>
          <w:sz w:val="27"/>
          <w:szCs w:val="27"/>
        </w:rPr>
        <w:t>，系（</w:t>
      </w:r>
      <w:r>
        <w:rPr>
          <w:rFonts w:hint="eastAsia" w:ascii="宋体" w:hAnsi="宋体" w:cs="宋体"/>
          <w:kern w:val="0"/>
          <w:sz w:val="27"/>
          <w:szCs w:val="27"/>
          <w:u w:val="single"/>
        </w:rPr>
        <w:t xml:space="preserve">投标人全称）                     </w:t>
      </w:r>
      <w:r>
        <w:rPr>
          <w:rFonts w:hint="eastAsia" w:ascii="宋体" w:hAnsi="宋体" w:cs="宋体"/>
          <w:kern w:val="0"/>
          <w:sz w:val="27"/>
          <w:szCs w:val="27"/>
        </w:rPr>
        <w:t>的法定代表人，现授权</w:t>
      </w:r>
      <w:r>
        <w:rPr>
          <w:rFonts w:hint="eastAsia" w:ascii="宋体" w:hAnsi="宋体" w:cs="宋体"/>
          <w:kern w:val="0"/>
          <w:sz w:val="27"/>
          <w:szCs w:val="27"/>
          <w:u w:val="single"/>
        </w:rPr>
        <w:t xml:space="preserve">（姓名）             </w:t>
      </w:r>
      <w:r>
        <w:rPr>
          <w:rFonts w:hint="eastAsia" w:ascii="宋体" w:hAnsi="宋体" w:cs="宋体"/>
          <w:kern w:val="0"/>
          <w:sz w:val="27"/>
          <w:szCs w:val="27"/>
        </w:rPr>
        <w:t>为我公司的授权委托人（即代理人），以我公司的名义参加</w:t>
      </w:r>
      <w:r>
        <w:rPr>
          <w:rFonts w:hint="eastAsia" w:ascii="宋体" w:hAnsi="宋体" w:cs="宋体"/>
          <w:kern w:val="0"/>
          <w:sz w:val="27"/>
          <w:szCs w:val="27"/>
          <w:u w:val="single"/>
        </w:rPr>
        <w:t>如东县中医院江苏人社一体化平台协议机构接口采购项目</w:t>
      </w:r>
      <w:r>
        <w:rPr>
          <w:rFonts w:hint="eastAsia" w:ascii="宋体" w:hAnsi="宋体" w:cs="宋体"/>
          <w:kern w:val="0"/>
          <w:sz w:val="27"/>
          <w:szCs w:val="27"/>
        </w:rPr>
        <w:t>的投标报价，</w:t>
      </w:r>
      <w:r>
        <w:rPr>
          <w:rFonts w:hint="eastAsia" w:ascii="宋体" w:hAnsi="宋体" w:cs="宋体"/>
          <w:sz w:val="27"/>
          <w:szCs w:val="27"/>
        </w:rPr>
        <w:t>全权代表我公司处理本次竞争性谈判采购的一切事宜。</w:t>
      </w:r>
    </w:p>
    <w:p w14:paraId="29B35739">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授权委托人（即代理人）在采购过程中所签署的一切文件、报价、承诺和处理与之有关的一切事项，我均予以承认。</w:t>
      </w:r>
    </w:p>
    <w:p w14:paraId="45C6D392">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授权委托人（即代理人）无转委权。</w:t>
      </w:r>
    </w:p>
    <w:p w14:paraId="4DE3858F">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授权委托人（即代理人）情况：</w:t>
      </w:r>
    </w:p>
    <w:p w14:paraId="5D83AF00">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姓名：      职务：</w:t>
      </w:r>
    </w:p>
    <w:p w14:paraId="7201D3CD">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身份证号码：</w:t>
      </w:r>
    </w:p>
    <w:p w14:paraId="58F338C2">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联系电话：     传真：</w:t>
      </w:r>
    </w:p>
    <w:p w14:paraId="4A7472D8">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投标单位名称（加盖公章）：</w:t>
      </w:r>
    </w:p>
    <w:p w14:paraId="5FA7ACD6">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法定代表人（签字或盖章）：</w:t>
      </w:r>
    </w:p>
    <w:p w14:paraId="6B3A891B">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 xml:space="preserve">                             日期：年月日</w:t>
      </w:r>
    </w:p>
    <w:p w14:paraId="210E4F19">
      <w:pPr>
        <w:spacing w:line="360" w:lineRule="auto"/>
        <w:ind w:firstLine="540" w:firstLineChars="200"/>
        <w:rPr>
          <w:rFonts w:ascii="宋体" w:hAnsi="宋体" w:cs="宋体"/>
          <w:kern w:val="0"/>
          <w:sz w:val="27"/>
          <w:szCs w:val="27"/>
        </w:rPr>
      </w:pPr>
    </w:p>
    <w:p w14:paraId="1C7501EC">
      <w:pPr>
        <w:spacing w:line="360" w:lineRule="auto"/>
        <w:ind w:firstLine="542" w:firstLineChars="200"/>
        <w:rPr>
          <w:rFonts w:ascii="宋体" w:hAnsi="宋体" w:cs="宋体"/>
          <w:b/>
          <w:bCs/>
          <w:kern w:val="0"/>
          <w:sz w:val="27"/>
          <w:szCs w:val="27"/>
        </w:rPr>
      </w:pPr>
      <w:r>
        <w:rPr>
          <w:rFonts w:hint="eastAsia" w:ascii="宋体" w:hAnsi="宋体" w:cs="宋体"/>
          <w:b/>
          <w:bCs/>
          <w:kern w:val="0"/>
          <w:sz w:val="27"/>
          <w:szCs w:val="27"/>
        </w:rPr>
        <w:t>附授权委托人（即代理人）身份证</w:t>
      </w:r>
      <w:r>
        <w:rPr>
          <w:rFonts w:hint="eastAsia" w:ascii="宋体" w:hAnsi="宋体" w:cs="宋体"/>
          <w:b/>
          <w:bCs/>
          <w:sz w:val="28"/>
          <w:szCs w:val="28"/>
        </w:rPr>
        <w:t>正反面</w:t>
      </w:r>
      <w:r>
        <w:rPr>
          <w:rFonts w:hint="eastAsia" w:ascii="宋体" w:hAnsi="宋体" w:cs="宋体"/>
          <w:b/>
          <w:bCs/>
          <w:kern w:val="0"/>
          <w:sz w:val="27"/>
          <w:szCs w:val="27"/>
        </w:rPr>
        <w:t>复印件：</w:t>
      </w:r>
    </w:p>
    <w:p w14:paraId="13714D4F">
      <w:pPr>
        <w:pStyle w:val="39"/>
        <w:spacing w:before="0" w:beforeAutospacing="0" w:after="0" w:afterAutospacing="0" w:line="360" w:lineRule="exact"/>
        <w:jc w:val="both"/>
        <w:rPr>
          <w:b/>
          <w:sz w:val="32"/>
          <w:szCs w:val="32"/>
        </w:rPr>
      </w:pPr>
    </w:p>
    <w:p w14:paraId="3C3E0CAF">
      <w:pPr>
        <w:pStyle w:val="39"/>
        <w:spacing w:before="0" w:beforeAutospacing="0" w:after="0" w:afterAutospacing="0" w:line="360" w:lineRule="exact"/>
        <w:jc w:val="both"/>
        <w:rPr>
          <w:b/>
          <w:sz w:val="32"/>
          <w:szCs w:val="32"/>
        </w:rPr>
      </w:pPr>
    </w:p>
    <w:p w14:paraId="6245CCF5">
      <w:pPr>
        <w:pStyle w:val="39"/>
        <w:spacing w:before="0" w:beforeAutospacing="0" w:after="0" w:afterAutospacing="0" w:line="360" w:lineRule="exact"/>
        <w:jc w:val="both"/>
        <w:rPr>
          <w:b/>
          <w:sz w:val="32"/>
          <w:szCs w:val="32"/>
        </w:rPr>
      </w:pPr>
    </w:p>
    <w:p w14:paraId="2D982718">
      <w:pPr>
        <w:widowControl/>
        <w:shd w:val="clear" w:color="auto" w:fill="FFFFFF"/>
        <w:spacing w:line="360" w:lineRule="auto"/>
        <w:rPr>
          <w:rFonts w:ascii="宋体" w:hAnsi="宋体" w:cs="宋体"/>
          <w:sz w:val="28"/>
          <w:szCs w:val="28"/>
        </w:rPr>
      </w:pPr>
      <w:r>
        <w:rPr>
          <w:rFonts w:hint="eastAsia" w:ascii="宋体" w:hAnsi="宋体" w:cs="宋体"/>
          <w:sz w:val="30"/>
          <w:szCs w:val="30"/>
        </w:rPr>
        <w:t xml:space="preserve">附件三 </w:t>
      </w:r>
    </w:p>
    <w:p w14:paraId="630BF4A6">
      <w:pPr>
        <w:widowControl/>
        <w:shd w:val="clear" w:color="auto" w:fill="FFFFFF"/>
        <w:spacing w:line="360" w:lineRule="auto"/>
        <w:jc w:val="center"/>
        <w:rPr>
          <w:rFonts w:ascii="宋体" w:hAnsi="宋体" w:cs="宋体"/>
          <w:kern w:val="0"/>
        </w:rPr>
      </w:pPr>
      <w:r>
        <w:rPr>
          <w:rFonts w:hint="eastAsia" w:ascii="宋体" w:hAnsi="宋体" w:cs="宋体"/>
          <w:kern w:val="0"/>
          <w:sz w:val="36"/>
        </w:rPr>
        <w:t>投标申请及声明</w:t>
      </w:r>
    </w:p>
    <w:p w14:paraId="2EBC9798">
      <w:pPr>
        <w:widowControl/>
        <w:shd w:val="clear" w:color="auto" w:fill="FFFFFF"/>
        <w:spacing w:line="360" w:lineRule="auto"/>
        <w:rPr>
          <w:rFonts w:ascii="宋体" w:hAnsi="宋体" w:cs="宋体"/>
          <w:kern w:val="0"/>
        </w:rPr>
      </w:pPr>
    </w:p>
    <w:p w14:paraId="10D1E0E0">
      <w:pPr>
        <w:widowControl/>
        <w:shd w:val="clear" w:color="auto" w:fill="FFFFFF"/>
        <w:spacing w:line="360" w:lineRule="auto"/>
        <w:rPr>
          <w:rFonts w:ascii="宋体" w:hAnsi="宋体" w:cs="宋体"/>
          <w:kern w:val="0"/>
        </w:rPr>
      </w:pPr>
      <w:r>
        <w:rPr>
          <w:rFonts w:hint="eastAsia" w:ascii="宋体" w:hAnsi="宋体" w:cs="宋体"/>
          <w:kern w:val="0"/>
        </w:rPr>
        <w:t>致：</w:t>
      </w:r>
      <w:r>
        <w:rPr>
          <w:rFonts w:hint="eastAsia" w:ascii="宋体" w:hAnsi="宋体" w:cs="宋体"/>
          <w:kern w:val="0"/>
          <w:u w:val="single"/>
        </w:rPr>
        <w:t>如东县中医院</w:t>
      </w:r>
    </w:p>
    <w:p w14:paraId="555AF476">
      <w:pPr>
        <w:widowControl/>
        <w:shd w:val="clear" w:color="auto" w:fill="FFFFFF"/>
        <w:spacing w:line="360" w:lineRule="auto"/>
        <w:ind w:left="2100" w:leftChars="200" w:hanging="1680" w:hangingChars="800"/>
        <w:rPr>
          <w:rFonts w:ascii="宋体" w:hAnsi="宋体" w:cs="宋体"/>
          <w:kern w:val="0"/>
        </w:rPr>
      </w:pPr>
      <w:r>
        <w:rPr>
          <w:rFonts w:hint="eastAsia" w:ascii="宋体" w:hAnsi="宋体" w:cs="宋体"/>
          <w:kern w:val="0"/>
        </w:rPr>
        <w:t xml:space="preserve">根据贵方 </w:t>
      </w:r>
      <w:r>
        <w:rPr>
          <w:rFonts w:hint="eastAsia" w:ascii="宋体" w:hAnsi="宋体" w:cs="宋体"/>
          <w:b/>
          <w:kern w:val="0"/>
          <w:u w:val="single"/>
        </w:rPr>
        <w:t>（</w:t>
      </w:r>
      <w:r>
        <w:rPr>
          <w:rFonts w:hint="eastAsia" w:ascii="宋体" w:hAnsi="宋体" w:cs="宋体"/>
          <w:kern w:val="0"/>
          <w:u w:val="single"/>
        </w:rPr>
        <w:t>项目名称）</w:t>
      </w:r>
      <w:r>
        <w:rPr>
          <w:rFonts w:hint="eastAsia" w:ascii="宋体" w:hAnsi="宋体" w:cs="宋体"/>
          <w:kern w:val="0"/>
        </w:rPr>
        <w:t xml:space="preserve">招标公告，正式授权 </w:t>
      </w:r>
      <w:r>
        <w:rPr>
          <w:rFonts w:hint="eastAsia" w:ascii="宋体" w:hAnsi="宋体" w:cs="宋体"/>
          <w:kern w:val="0"/>
          <w:u w:val="single"/>
        </w:rPr>
        <w:t xml:space="preserve">            (姓名和职务)</w:t>
      </w:r>
      <w:r>
        <w:rPr>
          <w:rFonts w:hint="eastAsia" w:ascii="宋体" w:hAnsi="宋体" w:cs="宋体"/>
          <w:kern w:val="0"/>
        </w:rPr>
        <w:t xml:space="preserve">代表  </w:t>
      </w:r>
    </w:p>
    <w:p w14:paraId="2BAC3841">
      <w:pPr>
        <w:widowControl/>
        <w:shd w:val="clear" w:color="auto" w:fill="FFFFFF"/>
        <w:spacing w:line="360" w:lineRule="auto"/>
        <w:ind w:left="2100" w:leftChars="200" w:hanging="1680" w:hangingChars="800"/>
        <w:rPr>
          <w:rFonts w:ascii="宋体" w:hAnsi="宋体" w:cs="宋体"/>
          <w:kern w:val="0"/>
        </w:rPr>
      </w:pPr>
      <w:r>
        <w:rPr>
          <w:rFonts w:hint="eastAsia" w:ascii="宋体" w:hAnsi="宋体" w:cs="宋体"/>
          <w:kern w:val="0"/>
        </w:rPr>
        <w:t xml:space="preserve"> （投标人名称），提交投标文件。</w:t>
      </w:r>
    </w:p>
    <w:p w14:paraId="2C1E7431">
      <w:pPr>
        <w:widowControl/>
        <w:shd w:val="clear" w:color="auto" w:fill="FFFFFF"/>
        <w:spacing w:line="360" w:lineRule="auto"/>
        <w:ind w:firstLine="420"/>
        <w:rPr>
          <w:rFonts w:ascii="宋体" w:hAnsi="宋体" w:cs="宋体"/>
          <w:kern w:val="0"/>
        </w:rPr>
      </w:pPr>
      <w:r>
        <w:rPr>
          <w:rFonts w:hint="eastAsia" w:ascii="宋体" w:hAnsi="宋体" w:cs="宋体"/>
          <w:kern w:val="0"/>
        </w:rPr>
        <w:t>据此函，签字人兹宣布声明和承诺如下：</w:t>
      </w:r>
    </w:p>
    <w:p w14:paraId="72DE6920">
      <w:pPr>
        <w:widowControl/>
        <w:shd w:val="clear" w:color="auto" w:fill="FFFFFF"/>
        <w:spacing w:line="360" w:lineRule="auto"/>
        <w:ind w:firstLine="420"/>
        <w:rPr>
          <w:rFonts w:ascii="宋体" w:hAnsi="宋体" w:cs="宋体"/>
          <w:kern w:val="0"/>
        </w:rPr>
      </w:pPr>
      <w:r>
        <w:rPr>
          <w:rFonts w:hint="eastAsia" w:ascii="宋体" w:hAnsi="宋体" w:cs="宋体"/>
          <w:kern w:val="0"/>
        </w:rPr>
        <w:t>1、</w:t>
      </w:r>
      <w:r>
        <w:rPr>
          <w:rFonts w:hint="eastAsia" w:ascii="宋体" w:hAnsi="宋体" w:cs="宋体"/>
          <w:b/>
          <w:kern w:val="0"/>
        </w:rPr>
        <w:t>我们的资格条件完全符合本次招标要求</w:t>
      </w:r>
      <w:r>
        <w:rPr>
          <w:rFonts w:hint="eastAsia" w:ascii="宋体" w:hAnsi="宋体" w:cs="宋体"/>
          <w:kern w:val="0"/>
        </w:rPr>
        <w:t>，我们同意并向贵方提供了与投标有关的所有证据和资料。</w:t>
      </w:r>
    </w:p>
    <w:p w14:paraId="0232BD26">
      <w:pPr>
        <w:widowControl/>
        <w:shd w:val="clear" w:color="auto" w:fill="FFFFFF"/>
        <w:spacing w:line="360" w:lineRule="auto"/>
        <w:ind w:firstLine="420"/>
        <w:rPr>
          <w:rFonts w:ascii="宋体" w:hAnsi="宋体" w:cs="宋体"/>
          <w:kern w:val="0"/>
        </w:rPr>
      </w:pPr>
      <w:r>
        <w:rPr>
          <w:rFonts w:hint="eastAsia" w:ascii="宋体" w:hAnsi="宋体" w:cs="宋体"/>
          <w:kern w:val="0"/>
        </w:rPr>
        <w:t>2、我们已详细审核全部招标文件及其有效补充文件，我们放弃对招标文件任何误解的权利，提交投标文件后，</w:t>
      </w:r>
      <w:r>
        <w:rPr>
          <w:rFonts w:hint="eastAsia" w:ascii="宋体" w:hAnsi="宋体" w:cs="宋体"/>
          <w:b/>
          <w:kern w:val="0"/>
        </w:rPr>
        <w:t>不对招标文件本身提出质疑</w:t>
      </w:r>
      <w:r>
        <w:rPr>
          <w:rFonts w:hint="eastAsia" w:ascii="宋体" w:hAnsi="宋体" w:cs="宋体"/>
          <w:kern w:val="0"/>
        </w:rPr>
        <w:t>。</w:t>
      </w:r>
    </w:p>
    <w:p w14:paraId="301F9595">
      <w:pPr>
        <w:widowControl/>
        <w:shd w:val="clear" w:color="auto" w:fill="FFFFFF"/>
        <w:spacing w:line="360" w:lineRule="auto"/>
        <w:ind w:firstLine="420"/>
        <w:rPr>
          <w:rFonts w:ascii="宋体" w:hAnsi="宋体" w:cs="宋体"/>
          <w:kern w:val="0"/>
        </w:rPr>
      </w:pPr>
      <w:r>
        <w:rPr>
          <w:rFonts w:hint="eastAsia" w:ascii="宋体" w:hAnsi="宋体" w:cs="宋体"/>
          <w:kern w:val="0"/>
        </w:rPr>
        <w:t>3、我方决不提供虚假材料谋取中标、决不采取不正当手段诋毁、排挤其他供应商、决不与采购人、其它供应商恶意串通、决不向采购人、招标采购工作人员和评委进行商业贿赂、决不在采购过程中与采购人进行协商谈判、决不拒绝有关部门监督检查或提供虚假情况，如有违反，无条件接受贵方及相关管理部门的处罚。</w:t>
      </w:r>
    </w:p>
    <w:p w14:paraId="47E2DD88">
      <w:pPr>
        <w:widowControl/>
        <w:shd w:val="clear" w:color="auto" w:fill="FFFFFF"/>
        <w:spacing w:line="360" w:lineRule="auto"/>
        <w:ind w:firstLine="420"/>
        <w:rPr>
          <w:rFonts w:ascii="宋体" w:hAnsi="宋体" w:cs="宋体"/>
          <w:kern w:val="0"/>
        </w:rPr>
      </w:pPr>
      <w:r>
        <w:rPr>
          <w:rFonts w:hint="eastAsia" w:ascii="宋体" w:hAnsi="宋体" w:cs="宋体"/>
          <w:kern w:val="0"/>
        </w:rPr>
        <w:t>4、与本投标有关的正式联系方式为：</w:t>
      </w:r>
    </w:p>
    <w:p w14:paraId="0CFB43A9">
      <w:pPr>
        <w:pStyle w:val="43"/>
        <w:rPr>
          <w:rFonts w:ascii="宋体" w:hAnsi="宋体" w:cs="宋体"/>
        </w:rPr>
      </w:pPr>
      <w:r>
        <w:rPr>
          <w:rFonts w:hint="eastAsia" w:ascii="宋体" w:hAnsi="宋体" w:cs="宋体"/>
        </w:rPr>
        <w:t xml:space="preserve">地址： </w:t>
      </w:r>
    </w:p>
    <w:p w14:paraId="62E43C2F">
      <w:pPr>
        <w:pStyle w:val="43"/>
        <w:rPr>
          <w:rFonts w:ascii="宋体" w:hAnsi="宋体" w:cs="宋体"/>
        </w:rPr>
      </w:pPr>
      <w:r>
        <w:rPr>
          <w:rFonts w:hint="eastAsia" w:ascii="宋体" w:hAnsi="宋体" w:cs="宋体"/>
        </w:rPr>
        <w:t xml:space="preserve">电话： </w:t>
      </w:r>
    </w:p>
    <w:p w14:paraId="17D02130">
      <w:pPr>
        <w:pStyle w:val="43"/>
        <w:rPr>
          <w:rFonts w:ascii="宋体" w:hAnsi="宋体" w:cs="宋体"/>
        </w:rPr>
      </w:pPr>
      <w:r>
        <w:rPr>
          <w:rFonts w:hint="eastAsia" w:ascii="宋体" w:hAnsi="宋体" w:cs="宋体"/>
        </w:rPr>
        <w:t xml:space="preserve">传真： </w:t>
      </w:r>
    </w:p>
    <w:p w14:paraId="79B1DEA3">
      <w:pPr>
        <w:pStyle w:val="43"/>
        <w:rPr>
          <w:rFonts w:ascii="宋体" w:hAnsi="宋体" w:cs="宋体"/>
        </w:rPr>
      </w:pPr>
      <w:r>
        <w:rPr>
          <w:rFonts w:hint="eastAsia" w:ascii="宋体" w:hAnsi="宋体" w:cs="宋体"/>
        </w:rPr>
        <w:t xml:space="preserve">开户银行： </w:t>
      </w:r>
    </w:p>
    <w:p w14:paraId="6106CE84">
      <w:pPr>
        <w:pStyle w:val="43"/>
        <w:rPr>
          <w:rFonts w:ascii="宋体" w:hAnsi="宋体" w:cs="宋体"/>
        </w:rPr>
      </w:pPr>
      <w:r>
        <w:rPr>
          <w:rFonts w:hint="eastAsia" w:ascii="宋体" w:hAnsi="宋体" w:cs="宋体"/>
        </w:rPr>
        <w:t xml:space="preserve">银行账号： </w:t>
      </w:r>
    </w:p>
    <w:p w14:paraId="13B2004F">
      <w:pPr>
        <w:pStyle w:val="43"/>
        <w:rPr>
          <w:rFonts w:ascii="宋体" w:hAnsi="宋体" w:cs="宋体"/>
        </w:rPr>
      </w:pPr>
      <w:r>
        <w:rPr>
          <w:rFonts w:hint="eastAsia" w:ascii="宋体" w:hAnsi="宋体" w:cs="宋体"/>
        </w:rPr>
        <w:t xml:space="preserve">投标人授权代表姓名（签字）： </w:t>
      </w:r>
    </w:p>
    <w:p w14:paraId="3972A6E3">
      <w:pPr>
        <w:pStyle w:val="43"/>
        <w:rPr>
          <w:rFonts w:ascii="宋体" w:hAnsi="宋体" w:cs="宋体"/>
        </w:rPr>
      </w:pPr>
      <w:r>
        <w:rPr>
          <w:rFonts w:hint="eastAsia" w:ascii="宋体" w:hAnsi="宋体" w:cs="宋体"/>
        </w:rPr>
        <w:t xml:space="preserve">投标人名称：（盖章） </w:t>
      </w:r>
    </w:p>
    <w:p w14:paraId="36A8B91B">
      <w:pPr>
        <w:pStyle w:val="43"/>
        <w:rPr>
          <w:rFonts w:ascii="宋体" w:hAnsi="宋体" w:cs="宋体"/>
        </w:rPr>
      </w:pPr>
      <w:r>
        <w:rPr>
          <w:rFonts w:hint="eastAsia" w:ascii="宋体" w:hAnsi="宋体" w:cs="宋体"/>
        </w:rPr>
        <w:t>日期：年  月  日</w:t>
      </w:r>
    </w:p>
    <w:p w14:paraId="5579F077">
      <w:pPr>
        <w:pStyle w:val="43"/>
        <w:rPr>
          <w:rFonts w:ascii="宋体" w:hAnsi="宋体" w:cs="宋体"/>
        </w:rPr>
      </w:pPr>
    </w:p>
    <w:p w14:paraId="39157215">
      <w:pPr>
        <w:pStyle w:val="43"/>
        <w:rPr>
          <w:rFonts w:ascii="宋体" w:hAnsi="宋体" w:cs="宋体"/>
        </w:rPr>
      </w:pPr>
    </w:p>
    <w:p w14:paraId="45F68B12">
      <w:pPr>
        <w:pStyle w:val="43"/>
        <w:rPr>
          <w:rFonts w:ascii="宋体" w:hAnsi="宋体" w:cs="宋体"/>
        </w:rPr>
      </w:pPr>
    </w:p>
    <w:p w14:paraId="379336B6">
      <w:pPr>
        <w:pStyle w:val="43"/>
        <w:rPr>
          <w:rFonts w:ascii="宋体" w:hAnsi="宋体" w:cs="宋体"/>
          <w:kern w:val="2"/>
          <w:sz w:val="30"/>
          <w:szCs w:val="30"/>
        </w:rPr>
      </w:pPr>
      <w:r>
        <w:rPr>
          <w:rFonts w:hint="eastAsia" w:ascii="宋体" w:hAnsi="宋体" w:cs="宋体"/>
          <w:kern w:val="2"/>
          <w:sz w:val="30"/>
          <w:szCs w:val="30"/>
        </w:rPr>
        <w:t>附件四：</w:t>
      </w:r>
    </w:p>
    <w:p w14:paraId="1E647D12">
      <w:pPr>
        <w:pStyle w:val="43"/>
        <w:jc w:val="center"/>
        <w:rPr>
          <w:rFonts w:ascii="宋体" w:hAnsi="宋体" w:cs="宋体"/>
        </w:rPr>
      </w:pPr>
      <w:r>
        <w:rPr>
          <w:rFonts w:hint="eastAsia" w:ascii="宋体" w:hAnsi="宋体" w:cs="宋体"/>
          <w:sz w:val="28"/>
          <w:szCs w:val="28"/>
        </w:rPr>
        <w:t>投标人资格声明格式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3374"/>
        <w:gridCol w:w="18"/>
        <w:gridCol w:w="2178"/>
        <w:gridCol w:w="2708"/>
      </w:tblGrid>
      <w:tr w14:paraId="6606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474" w:type="dxa"/>
            <w:vAlign w:val="center"/>
          </w:tcPr>
          <w:p w14:paraId="14C56A27">
            <w:pPr>
              <w:spacing w:line="460" w:lineRule="exact"/>
              <w:jc w:val="center"/>
              <w:rPr>
                <w:rFonts w:ascii="宋体" w:hAnsi="宋体" w:cs="宋体"/>
                <w:bCs/>
                <w:sz w:val="24"/>
              </w:rPr>
            </w:pPr>
            <w:r>
              <w:rPr>
                <w:rFonts w:hint="eastAsia" w:ascii="宋体" w:hAnsi="宋体" w:cs="宋体"/>
                <w:bCs/>
                <w:sz w:val="24"/>
              </w:rPr>
              <w:t>企业名称</w:t>
            </w:r>
          </w:p>
        </w:tc>
        <w:tc>
          <w:tcPr>
            <w:tcW w:w="8278" w:type="dxa"/>
            <w:gridSpan w:val="4"/>
            <w:vAlign w:val="center"/>
          </w:tcPr>
          <w:p w14:paraId="5C532EDE">
            <w:pPr>
              <w:spacing w:line="460" w:lineRule="exact"/>
              <w:rPr>
                <w:rFonts w:ascii="宋体" w:hAnsi="宋体" w:cs="宋体"/>
                <w:bCs/>
                <w:sz w:val="24"/>
              </w:rPr>
            </w:pPr>
          </w:p>
        </w:tc>
      </w:tr>
      <w:tr w14:paraId="40B0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474" w:type="dxa"/>
            <w:vAlign w:val="center"/>
          </w:tcPr>
          <w:p w14:paraId="11747C9C">
            <w:pPr>
              <w:spacing w:line="460" w:lineRule="exact"/>
              <w:jc w:val="center"/>
              <w:rPr>
                <w:rFonts w:ascii="宋体" w:hAnsi="宋体" w:cs="宋体"/>
                <w:bCs/>
                <w:sz w:val="24"/>
              </w:rPr>
            </w:pPr>
            <w:r>
              <w:rPr>
                <w:rFonts w:hint="eastAsia" w:ascii="宋体" w:hAnsi="宋体" w:cs="宋体"/>
                <w:bCs/>
                <w:sz w:val="24"/>
              </w:rPr>
              <w:t>地址</w:t>
            </w:r>
          </w:p>
        </w:tc>
        <w:tc>
          <w:tcPr>
            <w:tcW w:w="8278" w:type="dxa"/>
            <w:gridSpan w:val="4"/>
            <w:vAlign w:val="center"/>
          </w:tcPr>
          <w:p w14:paraId="51E019F1">
            <w:pPr>
              <w:spacing w:line="460" w:lineRule="exact"/>
              <w:rPr>
                <w:rFonts w:ascii="宋体" w:hAnsi="宋体" w:cs="宋体"/>
                <w:bCs/>
                <w:sz w:val="24"/>
              </w:rPr>
            </w:pPr>
          </w:p>
        </w:tc>
      </w:tr>
      <w:tr w14:paraId="501C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74" w:type="dxa"/>
            <w:vAlign w:val="center"/>
          </w:tcPr>
          <w:p w14:paraId="4970A263">
            <w:pPr>
              <w:spacing w:line="460" w:lineRule="exact"/>
              <w:jc w:val="center"/>
              <w:rPr>
                <w:rFonts w:ascii="宋体" w:hAnsi="宋体" w:cs="宋体"/>
                <w:bCs/>
                <w:sz w:val="24"/>
              </w:rPr>
            </w:pPr>
            <w:r>
              <w:rPr>
                <w:rFonts w:hint="eastAsia" w:ascii="宋体" w:hAnsi="宋体" w:cs="宋体"/>
                <w:bCs/>
                <w:sz w:val="24"/>
              </w:rPr>
              <w:t>法定代表人</w:t>
            </w:r>
          </w:p>
        </w:tc>
        <w:tc>
          <w:tcPr>
            <w:tcW w:w="8278" w:type="dxa"/>
            <w:gridSpan w:val="4"/>
            <w:vAlign w:val="center"/>
          </w:tcPr>
          <w:p w14:paraId="7B4214E1">
            <w:pPr>
              <w:spacing w:line="460" w:lineRule="exact"/>
              <w:rPr>
                <w:rFonts w:ascii="宋体" w:hAnsi="宋体" w:cs="宋体"/>
                <w:bCs/>
                <w:sz w:val="24"/>
              </w:rPr>
            </w:pPr>
          </w:p>
        </w:tc>
      </w:tr>
      <w:tr w14:paraId="4956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474" w:type="dxa"/>
            <w:vAlign w:val="center"/>
          </w:tcPr>
          <w:p w14:paraId="73DB773E">
            <w:pPr>
              <w:spacing w:line="460" w:lineRule="exact"/>
              <w:jc w:val="center"/>
              <w:rPr>
                <w:rFonts w:ascii="宋体" w:hAnsi="宋体" w:cs="宋体"/>
                <w:bCs/>
                <w:sz w:val="24"/>
              </w:rPr>
            </w:pPr>
            <w:r>
              <w:rPr>
                <w:rFonts w:hint="eastAsia" w:ascii="宋体" w:hAnsi="宋体" w:cs="宋体"/>
                <w:bCs/>
                <w:sz w:val="24"/>
              </w:rPr>
              <w:t>注册时间</w:t>
            </w:r>
          </w:p>
        </w:tc>
        <w:tc>
          <w:tcPr>
            <w:tcW w:w="8278" w:type="dxa"/>
            <w:gridSpan w:val="4"/>
          </w:tcPr>
          <w:p w14:paraId="17E16880">
            <w:pPr>
              <w:spacing w:line="460" w:lineRule="exact"/>
              <w:rPr>
                <w:rFonts w:ascii="宋体" w:hAnsi="宋体" w:cs="宋体"/>
                <w:bCs/>
                <w:sz w:val="24"/>
              </w:rPr>
            </w:pPr>
          </w:p>
        </w:tc>
      </w:tr>
      <w:tr w14:paraId="6968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4848" w:type="dxa"/>
            <w:gridSpan w:val="2"/>
            <w:vAlign w:val="center"/>
          </w:tcPr>
          <w:p w14:paraId="0CDDF50D">
            <w:pPr>
              <w:spacing w:line="460" w:lineRule="exact"/>
              <w:jc w:val="center"/>
              <w:rPr>
                <w:rFonts w:ascii="宋体" w:hAnsi="宋体" w:cs="宋体"/>
                <w:bCs/>
                <w:sz w:val="24"/>
              </w:rPr>
            </w:pPr>
            <w:r>
              <w:rPr>
                <w:rFonts w:hint="eastAsia" w:ascii="宋体" w:hAnsi="宋体" w:cs="宋体"/>
                <w:bCs/>
                <w:sz w:val="24"/>
              </w:rPr>
              <w:t>近三年内有经营活动中有无重大违法纪录</w:t>
            </w:r>
          </w:p>
        </w:tc>
        <w:tc>
          <w:tcPr>
            <w:tcW w:w="4904" w:type="dxa"/>
            <w:gridSpan w:val="3"/>
            <w:vAlign w:val="center"/>
          </w:tcPr>
          <w:p w14:paraId="2687B7E4">
            <w:pPr>
              <w:spacing w:line="460" w:lineRule="exact"/>
              <w:rPr>
                <w:rFonts w:ascii="宋体" w:hAnsi="宋体" w:cs="宋体"/>
                <w:bCs/>
                <w:sz w:val="24"/>
              </w:rPr>
            </w:pPr>
          </w:p>
        </w:tc>
      </w:tr>
      <w:tr w14:paraId="480B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1474" w:type="dxa"/>
            <w:vAlign w:val="center"/>
          </w:tcPr>
          <w:p w14:paraId="6B71D7A9">
            <w:pPr>
              <w:spacing w:line="460" w:lineRule="exact"/>
              <w:jc w:val="center"/>
              <w:rPr>
                <w:rFonts w:ascii="宋体" w:hAnsi="宋体" w:cs="宋体"/>
                <w:bCs/>
                <w:sz w:val="24"/>
              </w:rPr>
            </w:pPr>
            <w:r>
              <w:rPr>
                <w:rFonts w:hint="eastAsia" w:ascii="宋体" w:hAnsi="宋体" w:cs="宋体"/>
                <w:bCs/>
                <w:sz w:val="24"/>
              </w:rPr>
              <w:t>是否依法缴纳税收</w:t>
            </w:r>
          </w:p>
        </w:tc>
        <w:tc>
          <w:tcPr>
            <w:tcW w:w="3374" w:type="dxa"/>
          </w:tcPr>
          <w:p w14:paraId="558F8158">
            <w:pPr>
              <w:spacing w:line="460" w:lineRule="exact"/>
              <w:rPr>
                <w:rFonts w:ascii="宋体" w:hAnsi="宋体" w:cs="宋体"/>
                <w:bCs/>
                <w:sz w:val="24"/>
              </w:rPr>
            </w:pPr>
          </w:p>
        </w:tc>
        <w:tc>
          <w:tcPr>
            <w:tcW w:w="2196" w:type="dxa"/>
            <w:gridSpan w:val="2"/>
          </w:tcPr>
          <w:p w14:paraId="0F8F6CCD">
            <w:pPr>
              <w:spacing w:line="460" w:lineRule="exact"/>
              <w:rPr>
                <w:rFonts w:ascii="宋体" w:hAnsi="宋体" w:cs="宋体"/>
                <w:bCs/>
                <w:sz w:val="24"/>
              </w:rPr>
            </w:pPr>
            <w:r>
              <w:rPr>
                <w:rFonts w:hint="eastAsia" w:ascii="宋体" w:hAnsi="宋体" w:cs="宋体"/>
                <w:bCs/>
                <w:sz w:val="24"/>
              </w:rPr>
              <w:t>是否依法缴纳社会保障资金</w:t>
            </w:r>
          </w:p>
        </w:tc>
        <w:tc>
          <w:tcPr>
            <w:tcW w:w="2708" w:type="dxa"/>
          </w:tcPr>
          <w:p w14:paraId="69D3BCF6">
            <w:pPr>
              <w:spacing w:line="460" w:lineRule="exact"/>
              <w:rPr>
                <w:rFonts w:ascii="宋体" w:hAnsi="宋体" w:cs="宋体"/>
                <w:bCs/>
                <w:sz w:val="24"/>
              </w:rPr>
            </w:pPr>
          </w:p>
        </w:tc>
      </w:tr>
      <w:tr w14:paraId="220B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474" w:type="dxa"/>
            <w:vMerge w:val="restart"/>
            <w:vAlign w:val="center"/>
          </w:tcPr>
          <w:p w14:paraId="41808798">
            <w:pPr>
              <w:spacing w:line="460" w:lineRule="exact"/>
              <w:jc w:val="center"/>
              <w:rPr>
                <w:rFonts w:ascii="宋体" w:hAnsi="宋体" w:cs="宋体"/>
                <w:bCs/>
                <w:sz w:val="24"/>
              </w:rPr>
            </w:pPr>
          </w:p>
          <w:p w14:paraId="18DFD594">
            <w:pPr>
              <w:spacing w:line="460" w:lineRule="exact"/>
              <w:jc w:val="center"/>
              <w:rPr>
                <w:rFonts w:ascii="宋体" w:hAnsi="宋体" w:cs="宋体"/>
                <w:bCs/>
                <w:sz w:val="24"/>
              </w:rPr>
            </w:pPr>
            <w:r>
              <w:rPr>
                <w:rFonts w:hint="eastAsia" w:ascii="宋体" w:hAnsi="宋体" w:cs="宋体"/>
                <w:bCs/>
                <w:sz w:val="24"/>
              </w:rPr>
              <w:t>单位概况</w:t>
            </w:r>
          </w:p>
        </w:tc>
        <w:tc>
          <w:tcPr>
            <w:tcW w:w="3392" w:type="dxa"/>
            <w:gridSpan w:val="2"/>
            <w:vAlign w:val="center"/>
          </w:tcPr>
          <w:p w14:paraId="00467407">
            <w:pPr>
              <w:spacing w:line="460" w:lineRule="exact"/>
              <w:jc w:val="center"/>
              <w:rPr>
                <w:rFonts w:ascii="宋体" w:hAnsi="宋体" w:cs="宋体"/>
                <w:bCs/>
                <w:sz w:val="24"/>
              </w:rPr>
            </w:pPr>
            <w:r>
              <w:rPr>
                <w:rFonts w:hint="eastAsia" w:ascii="宋体" w:hAnsi="宋体" w:cs="宋体"/>
                <w:bCs/>
                <w:sz w:val="24"/>
              </w:rPr>
              <w:t>注册资本</w:t>
            </w:r>
          </w:p>
        </w:tc>
        <w:tc>
          <w:tcPr>
            <w:tcW w:w="4886" w:type="dxa"/>
            <w:gridSpan w:val="2"/>
          </w:tcPr>
          <w:p w14:paraId="5C221455">
            <w:pPr>
              <w:spacing w:line="460" w:lineRule="exact"/>
              <w:rPr>
                <w:rFonts w:ascii="宋体" w:hAnsi="宋体" w:cs="宋体"/>
                <w:bCs/>
                <w:sz w:val="24"/>
              </w:rPr>
            </w:pPr>
            <w:r>
              <w:rPr>
                <w:rFonts w:hint="eastAsia" w:ascii="宋体" w:hAnsi="宋体" w:cs="宋体"/>
                <w:bCs/>
                <w:sz w:val="24"/>
              </w:rPr>
              <w:t xml:space="preserve">             万元</w:t>
            </w:r>
          </w:p>
        </w:tc>
      </w:tr>
      <w:tr w14:paraId="35F8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474" w:type="dxa"/>
            <w:vMerge w:val="continue"/>
            <w:vAlign w:val="center"/>
          </w:tcPr>
          <w:p w14:paraId="217946BD">
            <w:pPr>
              <w:spacing w:line="460" w:lineRule="exact"/>
              <w:jc w:val="center"/>
              <w:rPr>
                <w:rFonts w:ascii="宋体" w:hAnsi="宋体" w:cs="宋体"/>
                <w:bCs/>
                <w:sz w:val="24"/>
              </w:rPr>
            </w:pPr>
          </w:p>
        </w:tc>
        <w:tc>
          <w:tcPr>
            <w:tcW w:w="3392" w:type="dxa"/>
            <w:gridSpan w:val="2"/>
            <w:vAlign w:val="center"/>
          </w:tcPr>
          <w:p w14:paraId="662D7DCD">
            <w:pPr>
              <w:spacing w:line="460" w:lineRule="exact"/>
              <w:rPr>
                <w:rFonts w:ascii="宋体" w:hAnsi="宋体" w:cs="宋体"/>
                <w:bCs/>
                <w:sz w:val="24"/>
              </w:rPr>
            </w:pPr>
            <w:r>
              <w:rPr>
                <w:rFonts w:hint="eastAsia" w:ascii="宋体" w:hAnsi="宋体" w:cs="宋体"/>
                <w:bCs/>
                <w:sz w:val="24"/>
              </w:rPr>
              <w:t>经营范围是否包含本项目</w:t>
            </w:r>
          </w:p>
        </w:tc>
        <w:tc>
          <w:tcPr>
            <w:tcW w:w="4886" w:type="dxa"/>
            <w:gridSpan w:val="2"/>
          </w:tcPr>
          <w:p w14:paraId="2F075483">
            <w:pPr>
              <w:spacing w:line="460" w:lineRule="exact"/>
              <w:rPr>
                <w:rFonts w:ascii="宋体" w:hAnsi="宋体" w:cs="宋体"/>
                <w:bCs/>
                <w:sz w:val="24"/>
              </w:rPr>
            </w:pPr>
          </w:p>
        </w:tc>
      </w:tr>
      <w:tr w14:paraId="64FF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474" w:type="dxa"/>
            <w:vMerge w:val="continue"/>
            <w:vAlign w:val="center"/>
          </w:tcPr>
          <w:p w14:paraId="6E5012BC">
            <w:pPr>
              <w:spacing w:line="460" w:lineRule="exact"/>
              <w:jc w:val="center"/>
              <w:rPr>
                <w:rFonts w:ascii="宋体" w:hAnsi="宋体" w:cs="宋体"/>
                <w:bCs/>
                <w:sz w:val="24"/>
              </w:rPr>
            </w:pPr>
          </w:p>
        </w:tc>
        <w:tc>
          <w:tcPr>
            <w:tcW w:w="3392" w:type="dxa"/>
            <w:gridSpan w:val="2"/>
            <w:vAlign w:val="center"/>
          </w:tcPr>
          <w:p w14:paraId="46B9627A">
            <w:pPr>
              <w:spacing w:line="460" w:lineRule="exact"/>
              <w:rPr>
                <w:rFonts w:ascii="宋体" w:hAnsi="宋体" w:cs="宋体"/>
                <w:bCs/>
                <w:sz w:val="24"/>
              </w:rPr>
            </w:pPr>
            <w:r>
              <w:rPr>
                <w:rFonts w:hint="eastAsia" w:ascii="宋体" w:hAnsi="宋体" w:cs="宋体"/>
                <w:bCs/>
                <w:sz w:val="24"/>
              </w:rPr>
              <w:t>是否符合本项目资格要求</w:t>
            </w:r>
          </w:p>
        </w:tc>
        <w:tc>
          <w:tcPr>
            <w:tcW w:w="4886" w:type="dxa"/>
            <w:gridSpan w:val="2"/>
            <w:vAlign w:val="center"/>
          </w:tcPr>
          <w:p w14:paraId="2E4CBC8D">
            <w:pPr>
              <w:spacing w:line="460" w:lineRule="exact"/>
              <w:rPr>
                <w:rFonts w:ascii="宋体" w:hAnsi="宋体" w:cs="宋体"/>
                <w:bCs/>
                <w:sz w:val="24"/>
              </w:rPr>
            </w:pPr>
          </w:p>
        </w:tc>
      </w:tr>
      <w:tr w14:paraId="3B0B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474" w:type="dxa"/>
            <w:vMerge w:val="continue"/>
            <w:vAlign w:val="center"/>
          </w:tcPr>
          <w:p w14:paraId="29B5B750">
            <w:pPr>
              <w:spacing w:line="460" w:lineRule="exact"/>
              <w:jc w:val="center"/>
              <w:rPr>
                <w:rFonts w:ascii="宋体" w:hAnsi="宋体" w:cs="宋体"/>
                <w:bCs/>
                <w:sz w:val="24"/>
              </w:rPr>
            </w:pPr>
          </w:p>
        </w:tc>
        <w:tc>
          <w:tcPr>
            <w:tcW w:w="3392" w:type="dxa"/>
            <w:gridSpan w:val="2"/>
            <w:vAlign w:val="center"/>
          </w:tcPr>
          <w:p w14:paraId="0BEB3150">
            <w:pPr>
              <w:spacing w:line="460" w:lineRule="exact"/>
              <w:rPr>
                <w:rFonts w:ascii="宋体" w:hAnsi="宋体" w:cs="宋体"/>
                <w:bCs/>
                <w:sz w:val="24"/>
              </w:rPr>
            </w:pPr>
            <w:r>
              <w:rPr>
                <w:rFonts w:hint="eastAsia" w:ascii="宋体" w:hAnsi="宋体" w:cs="宋体"/>
                <w:bCs/>
                <w:sz w:val="24"/>
              </w:rPr>
              <w:t>是否具备履行本项采购合同所必需的设备和专业技术能力</w:t>
            </w:r>
          </w:p>
        </w:tc>
        <w:tc>
          <w:tcPr>
            <w:tcW w:w="4886" w:type="dxa"/>
            <w:gridSpan w:val="2"/>
            <w:vAlign w:val="center"/>
          </w:tcPr>
          <w:p w14:paraId="6C625EB6">
            <w:pPr>
              <w:spacing w:line="460" w:lineRule="exact"/>
              <w:rPr>
                <w:rFonts w:ascii="宋体" w:hAnsi="宋体" w:cs="宋体"/>
                <w:bCs/>
                <w:sz w:val="24"/>
              </w:rPr>
            </w:pPr>
          </w:p>
        </w:tc>
      </w:tr>
      <w:tr w14:paraId="21E0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474" w:type="dxa"/>
            <w:vAlign w:val="center"/>
          </w:tcPr>
          <w:p w14:paraId="582D29F9">
            <w:pPr>
              <w:spacing w:line="460" w:lineRule="exact"/>
              <w:ind w:firstLine="360" w:firstLineChars="150"/>
              <w:jc w:val="center"/>
              <w:rPr>
                <w:rFonts w:ascii="宋体" w:hAnsi="宋体" w:cs="宋体"/>
                <w:bCs/>
                <w:sz w:val="24"/>
              </w:rPr>
            </w:pPr>
            <w:r>
              <w:rPr>
                <w:rFonts w:hint="eastAsia" w:ascii="宋体" w:hAnsi="宋体" w:cs="宋体"/>
                <w:bCs/>
                <w:sz w:val="24"/>
              </w:rPr>
              <w:t>备注</w:t>
            </w:r>
          </w:p>
        </w:tc>
        <w:tc>
          <w:tcPr>
            <w:tcW w:w="8278" w:type="dxa"/>
            <w:gridSpan w:val="4"/>
            <w:vAlign w:val="center"/>
          </w:tcPr>
          <w:p w14:paraId="0D9AE344">
            <w:pPr>
              <w:spacing w:line="460" w:lineRule="exact"/>
              <w:rPr>
                <w:rFonts w:ascii="宋体" w:hAnsi="宋体" w:cs="宋体"/>
                <w:bCs/>
                <w:sz w:val="24"/>
              </w:rPr>
            </w:pPr>
          </w:p>
        </w:tc>
      </w:tr>
    </w:tbl>
    <w:p w14:paraId="0C457004">
      <w:pPr>
        <w:spacing w:line="480" w:lineRule="auto"/>
        <w:ind w:firstLine="480" w:firstLineChars="200"/>
        <w:rPr>
          <w:rFonts w:ascii="宋体" w:hAnsi="宋体" w:cs="宋体"/>
          <w:bCs/>
          <w:sz w:val="24"/>
        </w:rPr>
      </w:pPr>
      <w:r>
        <w:rPr>
          <w:rFonts w:hint="eastAsia" w:ascii="宋体" w:hAnsi="宋体" w:cs="宋体"/>
          <w:bCs/>
          <w:sz w:val="24"/>
          <w:szCs w:val="24"/>
        </w:rPr>
        <w:t>我公司（单位）投标文件中所有关于投标资格的文件、证明、陈述均是真实的、准确的。若有违背，我公司（单位）愿意承担由此而产生的一切后果。</w:t>
      </w:r>
      <w:r>
        <w:rPr>
          <w:rFonts w:hint="eastAsia" w:ascii="宋体" w:hAnsi="宋体" w:cs="宋体"/>
          <w:bCs/>
          <w:sz w:val="24"/>
        </w:rPr>
        <w:t>我们同意如贵方要求，可以出示相关证明文件。</w:t>
      </w:r>
    </w:p>
    <w:p w14:paraId="492187E4">
      <w:pPr>
        <w:spacing w:line="460" w:lineRule="exact"/>
        <w:rPr>
          <w:rFonts w:ascii="宋体" w:hAnsi="宋体" w:cs="宋体"/>
          <w:bCs/>
          <w:sz w:val="24"/>
          <w:u w:val="single"/>
        </w:rPr>
      </w:pPr>
      <w:r>
        <w:rPr>
          <w:rFonts w:hint="eastAsia" w:ascii="宋体" w:hAnsi="宋体" w:cs="宋体"/>
          <w:bCs/>
          <w:sz w:val="24"/>
        </w:rPr>
        <w:t>授权委托人签字：授权委托人的职务：</w:t>
      </w:r>
    </w:p>
    <w:p w14:paraId="58FFE008">
      <w:pPr>
        <w:spacing w:line="460" w:lineRule="exact"/>
        <w:rPr>
          <w:rFonts w:ascii="宋体" w:hAnsi="宋体" w:cs="宋体"/>
          <w:bCs/>
          <w:sz w:val="24"/>
          <w:u w:val="single"/>
        </w:rPr>
      </w:pPr>
      <w:r>
        <w:rPr>
          <w:rFonts w:hint="eastAsia" w:ascii="宋体" w:hAnsi="宋体" w:cs="宋体"/>
          <w:bCs/>
          <w:sz w:val="24"/>
        </w:rPr>
        <w:t>电话号和传真号：</w:t>
      </w:r>
    </w:p>
    <w:p w14:paraId="26766C81">
      <w:pPr>
        <w:adjustRightInd w:val="0"/>
        <w:spacing w:line="360" w:lineRule="auto"/>
        <w:textAlignment w:val="baseline"/>
        <w:rPr>
          <w:rFonts w:ascii="宋体" w:hAnsi="宋体" w:cs="宋体"/>
          <w:kern w:val="0"/>
          <w:sz w:val="24"/>
          <w:szCs w:val="24"/>
        </w:rPr>
      </w:pPr>
      <w:r>
        <w:rPr>
          <w:rFonts w:hint="eastAsia" w:ascii="宋体" w:hAnsi="宋体" w:cs="宋体"/>
          <w:kern w:val="0"/>
          <w:sz w:val="24"/>
          <w:szCs w:val="24"/>
        </w:rPr>
        <w:t>投标单位(加盖公章)：</w:t>
      </w:r>
    </w:p>
    <w:p w14:paraId="2418F10F">
      <w:pPr>
        <w:spacing w:line="360" w:lineRule="auto"/>
        <w:jc w:val="left"/>
        <w:rPr>
          <w:rFonts w:ascii="宋体" w:hAnsi="宋体" w:cs="宋体"/>
          <w:b/>
          <w:bCs/>
          <w:sz w:val="28"/>
          <w:szCs w:val="28"/>
        </w:rPr>
        <w:sectPr>
          <w:headerReference r:id="rId4" w:type="first"/>
          <w:footerReference r:id="rId6" w:type="first"/>
          <w:headerReference r:id="rId3" w:type="default"/>
          <w:footerReference r:id="rId5" w:type="default"/>
          <w:pgSz w:w="11906" w:h="16838"/>
          <w:pgMar w:top="1440" w:right="1046" w:bottom="1440" w:left="1200" w:header="851" w:footer="992" w:gutter="0"/>
          <w:cols w:space="720" w:num="1"/>
          <w:titlePg/>
          <w:docGrid w:type="lines" w:linePitch="312" w:charSpace="0"/>
        </w:sectPr>
      </w:pPr>
      <w:r>
        <w:rPr>
          <w:rFonts w:hint="eastAsia" w:ascii="宋体" w:hAnsi="宋体" w:cs="宋体"/>
          <w:bCs/>
          <w:sz w:val="24"/>
        </w:rPr>
        <w:t xml:space="preserve">日期：年月日 </w:t>
      </w:r>
    </w:p>
    <w:p w14:paraId="6ADD0BDF">
      <w:pPr>
        <w:pStyle w:val="39"/>
        <w:spacing w:before="0" w:beforeAutospacing="0" w:after="0" w:afterAutospacing="0" w:line="360" w:lineRule="exact"/>
        <w:jc w:val="both"/>
        <w:rPr>
          <w:b/>
          <w:sz w:val="32"/>
          <w:szCs w:val="32"/>
        </w:rPr>
      </w:pPr>
    </w:p>
    <w:p w14:paraId="69E6D25D">
      <w:pPr>
        <w:spacing w:line="360" w:lineRule="auto"/>
        <w:rPr>
          <w:rFonts w:ascii="宋体" w:hAnsi="宋体" w:cs="宋体"/>
          <w:b/>
          <w:sz w:val="28"/>
          <w:szCs w:val="28"/>
        </w:rPr>
      </w:pPr>
      <w:r>
        <w:rPr>
          <w:rFonts w:hint="eastAsia" w:ascii="宋体" w:hAnsi="宋体" w:cs="宋体"/>
          <w:b/>
          <w:bCs/>
          <w:sz w:val="28"/>
          <w:szCs w:val="28"/>
        </w:rPr>
        <w:t>附件五：</w:t>
      </w:r>
    </w:p>
    <w:p w14:paraId="07BEBF6E">
      <w:pPr>
        <w:spacing w:line="460" w:lineRule="exact"/>
        <w:jc w:val="center"/>
        <w:rPr>
          <w:rFonts w:ascii="宋体" w:hAnsi="宋体" w:cs="宋体"/>
          <w:b/>
          <w:sz w:val="30"/>
          <w:szCs w:val="30"/>
        </w:rPr>
      </w:pPr>
      <w:r>
        <w:rPr>
          <w:rFonts w:hint="eastAsia" w:ascii="宋体" w:hAnsi="宋体" w:cs="宋体"/>
          <w:b/>
          <w:sz w:val="30"/>
          <w:szCs w:val="30"/>
        </w:rPr>
        <w:t>参加政府采购活动前 3 年内在经营活动中没有重大违法记录的书面声明</w:t>
      </w:r>
    </w:p>
    <w:p w14:paraId="7A6AD3B5">
      <w:pPr>
        <w:spacing w:line="460" w:lineRule="exact"/>
        <w:rPr>
          <w:rFonts w:ascii="宋体" w:hAnsi="宋体" w:cs="宋体"/>
          <w:b/>
          <w:sz w:val="32"/>
          <w:szCs w:val="32"/>
        </w:rPr>
      </w:pPr>
    </w:p>
    <w:p w14:paraId="28366CB5">
      <w:pPr>
        <w:spacing w:line="460" w:lineRule="exact"/>
        <w:jc w:val="center"/>
        <w:rPr>
          <w:rFonts w:ascii="宋体" w:hAnsi="宋体" w:cs="宋体"/>
          <w:b/>
          <w:sz w:val="32"/>
          <w:szCs w:val="32"/>
        </w:rPr>
      </w:pPr>
      <w:r>
        <w:rPr>
          <w:rFonts w:hint="eastAsia" w:ascii="宋体" w:hAnsi="宋体" w:cs="宋体"/>
          <w:b/>
          <w:sz w:val="32"/>
          <w:szCs w:val="32"/>
        </w:rPr>
        <w:t>声  明</w:t>
      </w:r>
    </w:p>
    <w:p w14:paraId="0E49CF06">
      <w:pPr>
        <w:spacing w:line="460" w:lineRule="exact"/>
        <w:rPr>
          <w:rFonts w:ascii="宋体" w:hAnsi="宋体" w:cs="宋体"/>
          <w:bCs/>
          <w:sz w:val="24"/>
        </w:rPr>
      </w:pPr>
      <w:r>
        <w:rPr>
          <w:rFonts w:hint="eastAsia" w:ascii="宋体" w:hAnsi="宋体" w:cs="宋体"/>
          <w:bCs/>
          <w:sz w:val="24"/>
        </w:rPr>
        <w:t>我公司郑重声明：参加本次政府采购活动前 3 年内，我公司在经营活动中没有因违法经营受到刑事处罚或者责令停产停业、吊销许可证或者执照、较大数额罚款等行政处罚。</w:t>
      </w:r>
    </w:p>
    <w:p w14:paraId="1856547B">
      <w:pPr>
        <w:spacing w:line="460" w:lineRule="exact"/>
        <w:rPr>
          <w:rFonts w:ascii="宋体" w:hAnsi="宋体" w:cs="宋体"/>
          <w:bCs/>
          <w:sz w:val="24"/>
        </w:rPr>
      </w:pPr>
    </w:p>
    <w:p w14:paraId="6ABDD6BF">
      <w:pPr>
        <w:spacing w:line="460" w:lineRule="exact"/>
        <w:rPr>
          <w:rFonts w:ascii="宋体" w:hAnsi="宋体" w:cs="宋体"/>
          <w:bCs/>
          <w:sz w:val="24"/>
        </w:rPr>
      </w:pPr>
    </w:p>
    <w:p w14:paraId="06BF3411">
      <w:pPr>
        <w:spacing w:line="460" w:lineRule="exact"/>
        <w:ind w:firstLine="3600" w:firstLineChars="1500"/>
        <w:rPr>
          <w:rFonts w:ascii="宋体" w:hAnsi="宋体" w:cs="宋体"/>
          <w:bCs/>
          <w:sz w:val="24"/>
        </w:rPr>
      </w:pPr>
      <w:r>
        <w:rPr>
          <w:rFonts w:hint="eastAsia" w:ascii="宋体" w:hAnsi="宋体" w:cs="宋体"/>
          <w:sz w:val="24"/>
          <w:szCs w:val="24"/>
        </w:rPr>
        <w:t>投标单位名称（加盖单位公章）</w:t>
      </w:r>
      <w:r>
        <w:rPr>
          <w:rFonts w:hint="eastAsia" w:ascii="宋体" w:hAnsi="宋体" w:cs="宋体"/>
          <w:bCs/>
          <w:sz w:val="24"/>
        </w:rPr>
        <w:t>：</w:t>
      </w:r>
    </w:p>
    <w:p w14:paraId="1C639153">
      <w:pPr>
        <w:spacing w:line="460" w:lineRule="exact"/>
        <w:ind w:firstLine="3600" w:firstLineChars="1500"/>
        <w:rPr>
          <w:rFonts w:ascii="宋体" w:hAnsi="宋体" w:cs="宋体"/>
          <w:bCs/>
          <w:sz w:val="24"/>
        </w:rPr>
      </w:pPr>
      <w:r>
        <w:rPr>
          <w:rFonts w:hint="eastAsia" w:ascii="宋体" w:hAnsi="宋体" w:cs="宋体"/>
          <w:bCs/>
          <w:sz w:val="24"/>
        </w:rPr>
        <w:t>法定代表人或授权代表签字：</w:t>
      </w:r>
    </w:p>
    <w:p w14:paraId="1A9DFD1A">
      <w:pPr>
        <w:spacing w:line="460" w:lineRule="exact"/>
        <w:rPr>
          <w:rFonts w:ascii="宋体" w:hAnsi="宋体" w:cs="宋体"/>
          <w:bCs/>
          <w:sz w:val="24"/>
        </w:rPr>
      </w:pPr>
      <w:r>
        <w:rPr>
          <w:rFonts w:hint="eastAsia" w:ascii="宋体" w:hAnsi="宋体" w:cs="宋体"/>
          <w:bCs/>
          <w:sz w:val="24"/>
        </w:rPr>
        <w:t xml:space="preserve">                             日期：______年月日</w:t>
      </w:r>
    </w:p>
    <w:p w14:paraId="5BAB5B97">
      <w:pPr>
        <w:pStyle w:val="39"/>
        <w:spacing w:before="0" w:beforeAutospacing="0" w:after="0" w:afterAutospacing="0" w:line="360" w:lineRule="exact"/>
        <w:jc w:val="both"/>
        <w:rPr>
          <w:b/>
          <w:sz w:val="32"/>
          <w:szCs w:val="32"/>
        </w:rPr>
      </w:pPr>
    </w:p>
    <w:p w14:paraId="469AA3DD">
      <w:pPr>
        <w:pStyle w:val="39"/>
        <w:spacing w:before="0" w:beforeAutospacing="0" w:after="0" w:afterAutospacing="0" w:line="360" w:lineRule="exact"/>
        <w:jc w:val="both"/>
        <w:rPr>
          <w:b/>
          <w:sz w:val="32"/>
          <w:szCs w:val="32"/>
        </w:rPr>
      </w:pPr>
    </w:p>
    <w:p w14:paraId="2839B6AF">
      <w:pPr>
        <w:pStyle w:val="39"/>
        <w:spacing w:before="0" w:beforeAutospacing="0" w:after="0" w:afterAutospacing="0" w:line="360" w:lineRule="exact"/>
        <w:jc w:val="both"/>
        <w:rPr>
          <w:b/>
          <w:sz w:val="32"/>
          <w:szCs w:val="32"/>
        </w:rPr>
      </w:pPr>
    </w:p>
    <w:p w14:paraId="796826C3">
      <w:pPr>
        <w:pStyle w:val="39"/>
        <w:spacing w:before="0" w:beforeAutospacing="0" w:after="0" w:afterAutospacing="0" w:line="360" w:lineRule="exact"/>
        <w:jc w:val="both"/>
        <w:rPr>
          <w:b/>
          <w:sz w:val="32"/>
          <w:szCs w:val="32"/>
        </w:rPr>
      </w:pPr>
    </w:p>
    <w:p w14:paraId="63016108">
      <w:pPr>
        <w:pStyle w:val="39"/>
        <w:spacing w:before="0" w:beforeAutospacing="0" w:after="0" w:afterAutospacing="0" w:line="360" w:lineRule="exact"/>
        <w:jc w:val="both"/>
        <w:rPr>
          <w:b/>
          <w:sz w:val="32"/>
          <w:szCs w:val="32"/>
        </w:rPr>
      </w:pPr>
    </w:p>
    <w:p w14:paraId="79F6FFA9">
      <w:pPr>
        <w:pStyle w:val="39"/>
        <w:spacing w:before="0" w:beforeAutospacing="0" w:after="0" w:afterAutospacing="0" w:line="360" w:lineRule="exact"/>
        <w:jc w:val="both"/>
        <w:rPr>
          <w:b/>
          <w:sz w:val="32"/>
          <w:szCs w:val="32"/>
        </w:rPr>
      </w:pPr>
    </w:p>
    <w:p w14:paraId="6F140D62">
      <w:pPr>
        <w:pStyle w:val="39"/>
        <w:spacing w:before="0" w:beforeAutospacing="0" w:after="0" w:afterAutospacing="0" w:line="360" w:lineRule="exact"/>
        <w:jc w:val="both"/>
        <w:rPr>
          <w:b/>
          <w:sz w:val="32"/>
          <w:szCs w:val="32"/>
        </w:rPr>
      </w:pPr>
    </w:p>
    <w:p w14:paraId="1F447FD8">
      <w:pPr>
        <w:pStyle w:val="39"/>
        <w:spacing w:before="0" w:beforeAutospacing="0" w:after="0" w:afterAutospacing="0" w:line="360" w:lineRule="exact"/>
        <w:jc w:val="both"/>
        <w:rPr>
          <w:b/>
          <w:sz w:val="32"/>
          <w:szCs w:val="32"/>
        </w:rPr>
      </w:pPr>
    </w:p>
    <w:p w14:paraId="6595B1AD">
      <w:pPr>
        <w:pStyle w:val="39"/>
        <w:spacing w:before="0" w:beforeAutospacing="0" w:after="0" w:afterAutospacing="0" w:line="360" w:lineRule="exact"/>
        <w:jc w:val="both"/>
        <w:rPr>
          <w:b/>
          <w:sz w:val="32"/>
          <w:szCs w:val="32"/>
        </w:rPr>
      </w:pPr>
    </w:p>
    <w:p w14:paraId="192E3B82">
      <w:pPr>
        <w:pStyle w:val="39"/>
        <w:spacing w:before="0" w:beforeAutospacing="0" w:after="0" w:afterAutospacing="0" w:line="360" w:lineRule="exact"/>
        <w:jc w:val="both"/>
        <w:rPr>
          <w:b/>
          <w:sz w:val="32"/>
          <w:szCs w:val="32"/>
        </w:rPr>
      </w:pPr>
    </w:p>
    <w:p w14:paraId="4203ED93">
      <w:pPr>
        <w:pStyle w:val="39"/>
        <w:spacing w:before="0" w:beforeAutospacing="0" w:after="0" w:afterAutospacing="0" w:line="360" w:lineRule="exact"/>
        <w:jc w:val="both"/>
        <w:rPr>
          <w:b/>
          <w:sz w:val="32"/>
          <w:szCs w:val="32"/>
        </w:rPr>
      </w:pPr>
    </w:p>
    <w:p w14:paraId="0D55CFBE">
      <w:pPr>
        <w:pStyle w:val="39"/>
        <w:spacing w:before="0" w:beforeAutospacing="0" w:after="0" w:afterAutospacing="0" w:line="360" w:lineRule="exact"/>
        <w:jc w:val="both"/>
        <w:rPr>
          <w:b/>
          <w:sz w:val="32"/>
          <w:szCs w:val="32"/>
        </w:rPr>
      </w:pPr>
    </w:p>
    <w:p w14:paraId="41B0080F">
      <w:pPr>
        <w:pStyle w:val="39"/>
        <w:spacing w:before="0" w:beforeAutospacing="0" w:after="0" w:afterAutospacing="0" w:line="360" w:lineRule="exact"/>
        <w:jc w:val="both"/>
        <w:rPr>
          <w:b/>
          <w:sz w:val="32"/>
          <w:szCs w:val="32"/>
        </w:rPr>
      </w:pPr>
    </w:p>
    <w:p w14:paraId="76E1E296">
      <w:pPr>
        <w:pStyle w:val="39"/>
        <w:spacing w:before="0" w:beforeAutospacing="0" w:after="0" w:afterAutospacing="0" w:line="360" w:lineRule="exact"/>
        <w:jc w:val="both"/>
        <w:rPr>
          <w:b/>
          <w:sz w:val="32"/>
          <w:szCs w:val="32"/>
        </w:rPr>
      </w:pPr>
    </w:p>
    <w:p w14:paraId="628BD0F7">
      <w:pPr>
        <w:pStyle w:val="39"/>
        <w:spacing w:before="0" w:beforeAutospacing="0" w:after="0" w:afterAutospacing="0" w:line="360" w:lineRule="exact"/>
        <w:jc w:val="both"/>
        <w:rPr>
          <w:b/>
          <w:sz w:val="32"/>
          <w:szCs w:val="32"/>
        </w:rPr>
      </w:pPr>
    </w:p>
    <w:p w14:paraId="5ACA1F9E">
      <w:pPr>
        <w:pStyle w:val="39"/>
        <w:spacing w:before="0" w:beforeAutospacing="0" w:after="0" w:afterAutospacing="0" w:line="360" w:lineRule="exact"/>
        <w:jc w:val="both"/>
        <w:rPr>
          <w:b/>
          <w:sz w:val="32"/>
          <w:szCs w:val="32"/>
        </w:rPr>
      </w:pPr>
    </w:p>
    <w:p w14:paraId="21A6CA8B">
      <w:pPr>
        <w:pStyle w:val="39"/>
        <w:spacing w:before="0" w:beforeAutospacing="0" w:after="0" w:afterAutospacing="0" w:line="360" w:lineRule="exact"/>
        <w:jc w:val="both"/>
        <w:rPr>
          <w:b/>
          <w:sz w:val="32"/>
          <w:szCs w:val="32"/>
        </w:rPr>
      </w:pPr>
    </w:p>
    <w:p w14:paraId="7E2C8C51">
      <w:pPr>
        <w:pStyle w:val="39"/>
        <w:spacing w:before="0" w:beforeAutospacing="0" w:after="0" w:afterAutospacing="0" w:line="360" w:lineRule="exact"/>
        <w:jc w:val="both"/>
        <w:rPr>
          <w:b/>
          <w:sz w:val="32"/>
          <w:szCs w:val="32"/>
        </w:rPr>
      </w:pPr>
    </w:p>
    <w:p w14:paraId="78F6D8B6">
      <w:pPr>
        <w:pStyle w:val="39"/>
        <w:spacing w:before="0" w:beforeAutospacing="0" w:after="0" w:afterAutospacing="0" w:line="360" w:lineRule="exact"/>
        <w:jc w:val="both"/>
        <w:rPr>
          <w:b/>
          <w:sz w:val="32"/>
          <w:szCs w:val="32"/>
        </w:rPr>
      </w:pPr>
    </w:p>
    <w:p w14:paraId="40214D41">
      <w:pPr>
        <w:pStyle w:val="39"/>
        <w:spacing w:before="0" w:beforeAutospacing="0" w:after="0" w:afterAutospacing="0" w:line="360" w:lineRule="exact"/>
        <w:jc w:val="both"/>
        <w:rPr>
          <w:b/>
          <w:sz w:val="32"/>
          <w:szCs w:val="32"/>
        </w:rPr>
      </w:pPr>
    </w:p>
    <w:p w14:paraId="33F1FAF3">
      <w:pPr>
        <w:pStyle w:val="39"/>
        <w:spacing w:before="0" w:beforeAutospacing="0" w:after="0" w:afterAutospacing="0" w:line="360" w:lineRule="exact"/>
        <w:jc w:val="both"/>
        <w:rPr>
          <w:b/>
          <w:sz w:val="32"/>
          <w:szCs w:val="32"/>
        </w:rPr>
      </w:pPr>
    </w:p>
    <w:p w14:paraId="73D3C3A7">
      <w:pPr>
        <w:spacing w:line="360" w:lineRule="auto"/>
        <w:rPr>
          <w:rFonts w:ascii="宋体" w:hAnsi="宋体" w:cs="宋体"/>
          <w:b/>
          <w:sz w:val="32"/>
          <w:szCs w:val="32"/>
        </w:rPr>
      </w:pPr>
      <w:r>
        <w:rPr>
          <w:rFonts w:hint="eastAsia" w:ascii="宋体" w:hAnsi="宋体" w:cs="宋体"/>
          <w:b/>
          <w:sz w:val="32"/>
          <w:szCs w:val="32"/>
        </w:rPr>
        <w:t xml:space="preserve">附件六：  </w:t>
      </w:r>
    </w:p>
    <w:p w14:paraId="74E0A4C3">
      <w:pPr>
        <w:spacing w:line="360" w:lineRule="auto"/>
        <w:ind w:firstLine="643" w:firstLineChars="200"/>
        <w:rPr>
          <w:rFonts w:ascii="宋体" w:hAnsi="宋体" w:cs="宋体"/>
          <w:b/>
          <w:sz w:val="32"/>
          <w:szCs w:val="32"/>
        </w:rPr>
      </w:pPr>
      <w:r>
        <w:rPr>
          <w:rFonts w:hint="eastAsia" w:ascii="宋体" w:hAnsi="宋体" w:cs="宋体"/>
          <w:b/>
          <w:sz w:val="32"/>
          <w:szCs w:val="32"/>
        </w:rPr>
        <w:t xml:space="preserve"> 具备履行合同所必需的设备和专业技术能力的书面声明</w:t>
      </w:r>
    </w:p>
    <w:p w14:paraId="6DB5E2A5">
      <w:pPr>
        <w:spacing w:line="480" w:lineRule="auto"/>
        <w:ind w:firstLine="641"/>
        <w:jc w:val="center"/>
        <w:rPr>
          <w:rFonts w:ascii="宋体" w:hAnsi="宋体" w:cs="宋体"/>
          <w:b/>
          <w:sz w:val="32"/>
          <w:szCs w:val="32"/>
        </w:rPr>
      </w:pPr>
    </w:p>
    <w:p w14:paraId="02AA0E08">
      <w:pPr>
        <w:spacing w:line="480" w:lineRule="auto"/>
        <w:ind w:firstLine="641"/>
        <w:jc w:val="left"/>
        <w:rPr>
          <w:rFonts w:ascii="宋体" w:hAnsi="宋体" w:cs="宋体"/>
          <w:b/>
          <w:sz w:val="24"/>
          <w:szCs w:val="24"/>
        </w:rPr>
      </w:pPr>
      <w:r>
        <w:rPr>
          <w:rFonts w:hint="eastAsia" w:ascii="宋体" w:hAnsi="宋体" w:cs="宋体"/>
          <w:b/>
          <w:sz w:val="24"/>
          <w:szCs w:val="24"/>
        </w:rPr>
        <w:t>我单位郑重声明：我单位具备履行本项采购合同所必需的设备和专业技术能力，为履行本项采购合同我公司具备如下主要设备和主要专业技术能力（自行填写）：</w:t>
      </w:r>
    </w:p>
    <w:p w14:paraId="00C4C41A">
      <w:pPr>
        <w:spacing w:line="480" w:lineRule="auto"/>
        <w:ind w:firstLine="641"/>
        <w:jc w:val="left"/>
        <w:rPr>
          <w:rFonts w:ascii="宋体" w:hAnsi="宋体" w:cs="宋体"/>
          <w:b/>
          <w:sz w:val="24"/>
          <w:szCs w:val="24"/>
        </w:rPr>
      </w:pPr>
      <w:r>
        <w:rPr>
          <w:rFonts w:hint="eastAsia" w:ascii="宋体" w:hAnsi="宋体" w:cs="宋体"/>
          <w:b/>
          <w:sz w:val="24"/>
          <w:szCs w:val="24"/>
        </w:rPr>
        <w:t>主要设备有：。</w:t>
      </w:r>
    </w:p>
    <w:p w14:paraId="3A16ED35">
      <w:pPr>
        <w:spacing w:line="480" w:lineRule="auto"/>
        <w:ind w:firstLine="641"/>
        <w:jc w:val="left"/>
        <w:rPr>
          <w:rFonts w:ascii="宋体" w:hAnsi="宋体" w:cs="宋体"/>
          <w:b/>
          <w:sz w:val="24"/>
          <w:szCs w:val="24"/>
        </w:rPr>
      </w:pPr>
      <w:r>
        <w:rPr>
          <w:rFonts w:hint="eastAsia" w:ascii="宋体" w:hAnsi="宋体" w:cs="宋体"/>
          <w:b/>
          <w:sz w:val="24"/>
          <w:szCs w:val="24"/>
        </w:rPr>
        <w:t>主要专业技术能力有： 。</w:t>
      </w:r>
    </w:p>
    <w:p w14:paraId="3B125FE5">
      <w:pPr>
        <w:spacing w:line="480" w:lineRule="auto"/>
        <w:ind w:firstLine="641"/>
        <w:jc w:val="left"/>
        <w:rPr>
          <w:rFonts w:ascii="宋体" w:hAnsi="宋体" w:cs="宋体"/>
          <w:b/>
          <w:sz w:val="24"/>
          <w:szCs w:val="24"/>
        </w:rPr>
      </w:pPr>
    </w:p>
    <w:p w14:paraId="33E8BD39">
      <w:pPr>
        <w:spacing w:line="360" w:lineRule="auto"/>
        <w:ind w:firstLine="641"/>
        <w:jc w:val="left"/>
        <w:rPr>
          <w:rFonts w:ascii="宋体" w:hAnsi="宋体" w:cs="宋体"/>
          <w:b/>
          <w:sz w:val="24"/>
          <w:szCs w:val="24"/>
        </w:rPr>
      </w:pPr>
    </w:p>
    <w:p w14:paraId="3E31B0C2">
      <w:pPr>
        <w:spacing w:line="360" w:lineRule="auto"/>
        <w:ind w:firstLine="641"/>
        <w:jc w:val="left"/>
        <w:rPr>
          <w:rFonts w:ascii="宋体" w:hAnsi="宋体" w:cs="宋体"/>
          <w:b/>
          <w:sz w:val="24"/>
          <w:szCs w:val="24"/>
        </w:rPr>
      </w:pPr>
    </w:p>
    <w:p w14:paraId="0FD5198E">
      <w:pPr>
        <w:spacing w:line="360" w:lineRule="auto"/>
        <w:ind w:firstLine="641"/>
        <w:jc w:val="left"/>
        <w:rPr>
          <w:rFonts w:ascii="宋体" w:hAnsi="宋体" w:cs="宋体"/>
          <w:b/>
          <w:sz w:val="24"/>
          <w:szCs w:val="24"/>
        </w:rPr>
      </w:pPr>
    </w:p>
    <w:p w14:paraId="3BC9614D">
      <w:pPr>
        <w:spacing w:line="360" w:lineRule="auto"/>
        <w:ind w:firstLine="641"/>
        <w:jc w:val="left"/>
        <w:rPr>
          <w:rFonts w:ascii="宋体" w:hAnsi="宋体" w:cs="宋体"/>
          <w:b/>
          <w:sz w:val="24"/>
          <w:szCs w:val="24"/>
        </w:rPr>
      </w:pPr>
    </w:p>
    <w:p w14:paraId="65B1269B">
      <w:pPr>
        <w:spacing w:line="360" w:lineRule="auto"/>
        <w:ind w:firstLine="641"/>
        <w:jc w:val="left"/>
        <w:rPr>
          <w:rFonts w:ascii="宋体" w:hAnsi="宋体" w:cs="宋体"/>
          <w:b/>
          <w:sz w:val="24"/>
          <w:szCs w:val="24"/>
        </w:rPr>
      </w:pPr>
    </w:p>
    <w:p w14:paraId="59462F0C">
      <w:pPr>
        <w:spacing w:line="360" w:lineRule="auto"/>
        <w:ind w:firstLine="641"/>
        <w:jc w:val="left"/>
        <w:rPr>
          <w:rFonts w:ascii="宋体" w:hAnsi="宋体" w:cs="宋体"/>
          <w:b/>
          <w:sz w:val="24"/>
          <w:szCs w:val="24"/>
        </w:rPr>
      </w:pPr>
      <w:r>
        <w:rPr>
          <w:rFonts w:hint="eastAsia" w:ascii="宋体" w:hAnsi="宋体" w:cs="宋体"/>
          <w:b/>
          <w:sz w:val="24"/>
          <w:szCs w:val="24"/>
        </w:rPr>
        <w:t xml:space="preserve">                                 投标单位全称：</w:t>
      </w:r>
    </w:p>
    <w:p w14:paraId="0F2FCE87">
      <w:pPr>
        <w:spacing w:line="360" w:lineRule="auto"/>
        <w:ind w:firstLine="641"/>
        <w:jc w:val="left"/>
        <w:rPr>
          <w:rFonts w:ascii="宋体" w:hAnsi="宋体" w:cs="宋体"/>
          <w:b/>
          <w:sz w:val="24"/>
          <w:szCs w:val="24"/>
        </w:rPr>
      </w:pPr>
      <w:r>
        <w:rPr>
          <w:rFonts w:hint="eastAsia" w:ascii="宋体" w:hAnsi="宋体" w:cs="宋体"/>
          <w:b/>
          <w:sz w:val="24"/>
          <w:szCs w:val="24"/>
        </w:rPr>
        <w:t xml:space="preserve">                                 法定代表人或授权代表签字：</w:t>
      </w:r>
    </w:p>
    <w:p w14:paraId="20668F18">
      <w:pPr>
        <w:spacing w:line="360" w:lineRule="auto"/>
        <w:ind w:firstLine="641"/>
        <w:jc w:val="left"/>
        <w:rPr>
          <w:rFonts w:ascii="宋体" w:hAnsi="宋体" w:cs="宋体"/>
          <w:b/>
          <w:sz w:val="24"/>
          <w:szCs w:val="24"/>
        </w:rPr>
      </w:pPr>
      <w:r>
        <w:rPr>
          <w:rFonts w:hint="eastAsia" w:ascii="宋体" w:hAnsi="宋体" w:cs="宋体"/>
          <w:b/>
          <w:sz w:val="24"/>
          <w:szCs w:val="24"/>
        </w:rPr>
        <w:t xml:space="preserve">                                 日期：     年    月    日</w:t>
      </w:r>
    </w:p>
    <w:p w14:paraId="35B40CE3">
      <w:pPr>
        <w:spacing w:line="360" w:lineRule="auto"/>
        <w:ind w:firstLine="641"/>
        <w:jc w:val="left"/>
        <w:rPr>
          <w:rFonts w:ascii="宋体" w:hAnsi="宋体" w:cs="宋体"/>
          <w:b/>
          <w:sz w:val="24"/>
          <w:szCs w:val="24"/>
        </w:rPr>
      </w:pPr>
    </w:p>
    <w:p w14:paraId="33773405">
      <w:pPr>
        <w:pStyle w:val="39"/>
        <w:spacing w:before="0" w:beforeAutospacing="0" w:after="0" w:afterAutospacing="0" w:line="360" w:lineRule="exact"/>
        <w:jc w:val="both"/>
        <w:rPr>
          <w:b/>
          <w:sz w:val="32"/>
          <w:szCs w:val="32"/>
        </w:rPr>
        <w:sectPr>
          <w:footerReference r:id="rId8" w:type="first"/>
          <w:footerReference r:id="rId7" w:type="default"/>
          <w:pgSz w:w="11907" w:h="16840"/>
          <w:pgMar w:top="1531" w:right="1531" w:bottom="1531" w:left="1531" w:header="851" w:footer="992" w:gutter="0"/>
          <w:cols w:space="720" w:num="1"/>
          <w:titlePg/>
          <w:docGrid w:type="lines" w:linePitch="312" w:charSpace="0"/>
        </w:sectPr>
      </w:pPr>
    </w:p>
    <w:p w14:paraId="37D6006B">
      <w:pPr>
        <w:pStyle w:val="39"/>
        <w:spacing w:before="0" w:beforeAutospacing="0" w:after="0" w:afterAutospacing="0" w:line="360" w:lineRule="exact"/>
        <w:jc w:val="both"/>
        <w:rPr>
          <w:b/>
          <w:sz w:val="32"/>
          <w:szCs w:val="32"/>
        </w:rPr>
      </w:pPr>
      <w:r>
        <w:rPr>
          <w:rFonts w:hint="eastAsia"/>
          <w:b/>
          <w:sz w:val="32"/>
          <w:szCs w:val="32"/>
        </w:rPr>
        <w:t xml:space="preserve">附件七： </w:t>
      </w:r>
    </w:p>
    <w:p w14:paraId="7FD347BD">
      <w:pPr>
        <w:pStyle w:val="6"/>
        <w:ind w:firstLine="0"/>
        <w:jc w:val="center"/>
        <w:rPr>
          <w:rFonts w:ascii="宋体" w:hAnsi="宋体" w:cs="宋体"/>
          <w:b/>
          <w:bCs/>
          <w:color w:val="000000"/>
          <w:sz w:val="36"/>
          <w:szCs w:val="36"/>
        </w:rPr>
      </w:pPr>
      <w:r>
        <w:rPr>
          <w:rFonts w:hint="eastAsia" w:ascii="宋体" w:hAnsi="宋体" w:cs="宋体"/>
          <w:b/>
          <w:bCs/>
          <w:color w:val="000000"/>
          <w:sz w:val="36"/>
          <w:szCs w:val="36"/>
        </w:rPr>
        <w:t>报价一览表（一）（格式）</w:t>
      </w:r>
    </w:p>
    <w:p w14:paraId="04B84E17">
      <w:pPr>
        <w:pStyle w:val="39"/>
        <w:spacing w:line="225" w:lineRule="atLeast"/>
        <w:jc w:val="center"/>
        <w:rPr>
          <w:b/>
          <w:bCs/>
          <w:sz w:val="28"/>
          <w:szCs w:val="28"/>
        </w:rPr>
      </w:pPr>
      <w:r>
        <w:rPr>
          <w:rFonts w:hint="eastAsia"/>
          <w:b/>
          <w:bCs/>
          <w:sz w:val="28"/>
          <w:szCs w:val="28"/>
        </w:rPr>
        <w:t>投标报价单</w:t>
      </w:r>
    </w:p>
    <w:p w14:paraId="7DDEB006">
      <w:pPr>
        <w:pStyle w:val="39"/>
        <w:spacing w:line="225" w:lineRule="atLeast"/>
        <w:jc w:val="both"/>
        <w:rPr>
          <w:b/>
          <w:bCs/>
        </w:rPr>
      </w:pPr>
      <w:r>
        <w:rPr>
          <w:rFonts w:hint="eastAsia"/>
          <w:b/>
          <w:bCs/>
        </w:rPr>
        <w:t xml:space="preserve">                                                       单位：人民币元</w:t>
      </w:r>
    </w:p>
    <w:tbl>
      <w:tblPr>
        <w:tblStyle w:val="44"/>
        <w:tblW w:w="912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7528"/>
      </w:tblGrid>
      <w:tr w14:paraId="39B53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0C6AAB88">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报价项目</w:t>
            </w:r>
          </w:p>
        </w:tc>
        <w:tc>
          <w:tcPr>
            <w:tcW w:w="7528" w:type="dxa"/>
            <w:vAlign w:val="center"/>
          </w:tcPr>
          <w:p w14:paraId="7B0827F9">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sz w:val="24"/>
              </w:rPr>
            </w:pPr>
          </w:p>
        </w:tc>
      </w:tr>
      <w:tr w14:paraId="2F82B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376749CB">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产品名称</w:t>
            </w:r>
          </w:p>
        </w:tc>
        <w:tc>
          <w:tcPr>
            <w:tcW w:w="7528" w:type="dxa"/>
            <w:vAlign w:val="center"/>
          </w:tcPr>
          <w:p w14:paraId="64161D4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2BC2D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68479622">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生产厂家</w:t>
            </w:r>
          </w:p>
        </w:tc>
        <w:tc>
          <w:tcPr>
            <w:tcW w:w="7528" w:type="dxa"/>
            <w:vAlign w:val="center"/>
          </w:tcPr>
          <w:p w14:paraId="125675BF">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0C15C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728951C4">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规格型号</w:t>
            </w:r>
          </w:p>
        </w:tc>
        <w:tc>
          <w:tcPr>
            <w:tcW w:w="7528" w:type="dxa"/>
            <w:vAlign w:val="center"/>
          </w:tcPr>
          <w:p w14:paraId="465D058E">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4BBFCF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7" w:type="dxa"/>
            <w:vAlign w:val="center"/>
          </w:tcPr>
          <w:p w14:paraId="427B773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数量/单价</w:t>
            </w:r>
          </w:p>
        </w:tc>
        <w:tc>
          <w:tcPr>
            <w:tcW w:w="7528" w:type="dxa"/>
            <w:vAlign w:val="center"/>
          </w:tcPr>
          <w:p w14:paraId="3BF7E1FC">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21BC6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597" w:type="dxa"/>
            <w:vAlign w:val="center"/>
          </w:tcPr>
          <w:p w14:paraId="0813EF6C">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免费维护期</w:t>
            </w:r>
          </w:p>
        </w:tc>
        <w:tc>
          <w:tcPr>
            <w:tcW w:w="7528" w:type="dxa"/>
            <w:vAlign w:val="center"/>
          </w:tcPr>
          <w:p w14:paraId="51396EA4">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48EF74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97" w:type="dxa"/>
            <w:vAlign w:val="center"/>
          </w:tcPr>
          <w:p w14:paraId="02B244B8">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报价声明</w:t>
            </w:r>
          </w:p>
        </w:tc>
        <w:tc>
          <w:tcPr>
            <w:tcW w:w="7528" w:type="dxa"/>
            <w:vAlign w:val="center"/>
          </w:tcPr>
          <w:p w14:paraId="46A23FE4">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r>
              <w:rPr>
                <w:rFonts w:hint="eastAsia" w:ascii="宋体" w:hAnsi="宋体" w:cs="宋体"/>
                <w:sz w:val="24"/>
              </w:rPr>
              <w:t>我单位已完全理解采购文件所规定的条件和要求，并承诺按以下报价承担规定的全部责任和义务。</w:t>
            </w:r>
          </w:p>
        </w:tc>
      </w:tr>
      <w:tr w14:paraId="5D7959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597" w:type="dxa"/>
            <w:vAlign w:val="center"/>
          </w:tcPr>
          <w:p w14:paraId="4E9673CB">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付款方式</w:t>
            </w:r>
          </w:p>
        </w:tc>
        <w:tc>
          <w:tcPr>
            <w:tcW w:w="7528" w:type="dxa"/>
            <w:vAlign w:val="center"/>
          </w:tcPr>
          <w:p w14:paraId="667B7327">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p>
        </w:tc>
      </w:tr>
      <w:tr w14:paraId="33DF5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597" w:type="dxa"/>
            <w:tcBorders>
              <w:top w:val="nil"/>
            </w:tcBorders>
            <w:vAlign w:val="center"/>
          </w:tcPr>
          <w:p w14:paraId="1168D7F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投标总价</w:t>
            </w:r>
          </w:p>
        </w:tc>
        <w:tc>
          <w:tcPr>
            <w:tcW w:w="7528" w:type="dxa"/>
            <w:tcBorders>
              <w:top w:val="single" w:color="auto" w:sz="4" w:space="0"/>
            </w:tcBorders>
            <w:vAlign w:val="center"/>
          </w:tcPr>
          <w:p w14:paraId="4C2A774B">
            <w:pPr>
              <w:pStyle w:val="39"/>
              <w:spacing w:line="225" w:lineRule="atLeast"/>
              <w:jc w:val="both"/>
              <w:rPr>
                <w:b/>
                <w:bCs/>
              </w:rPr>
            </w:pPr>
            <w:r>
              <w:rPr>
                <w:rFonts w:hint="eastAsia"/>
                <w:b/>
                <w:bCs/>
              </w:rPr>
              <w:t>（大写）。</w:t>
            </w:r>
          </w:p>
          <w:p w14:paraId="6658C2FC">
            <w:pPr>
              <w:pStyle w:val="39"/>
              <w:spacing w:line="225" w:lineRule="atLeast"/>
              <w:jc w:val="both"/>
              <w:rPr>
                <w:b/>
                <w:bCs/>
              </w:rPr>
            </w:pPr>
            <w:r>
              <w:rPr>
                <w:rFonts w:hint="eastAsia"/>
                <w:b/>
                <w:bCs/>
              </w:rPr>
              <w:t xml:space="preserve">（小写） </w:t>
            </w:r>
            <w:r>
              <w:rPr>
                <w:rFonts w:hint="eastAsia"/>
                <w:b/>
              </w:rPr>
              <w:t xml:space="preserve">¥ </w:t>
            </w:r>
            <w:r>
              <w:rPr>
                <w:rFonts w:hint="eastAsia"/>
                <w:b/>
                <w:bCs/>
              </w:rPr>
              <w:t>。</w:t>
            </w:r>
          </w:p>
          <w:p w14:paraId="3AFDDFFC">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p>
        </w:tc>
      </w:tr>
    </w:tbl>
    <w:p w14:paraId="1DEFFC11">
      <w:pPr>
        <w:pStyle w:val="39"/>
        <w:spacing w:line="520" w:lineRule="exact"/>
        <w:jc w:val="both"/>
        <w:rPr>
          <w:b/>
          <w:bCs/>
          <w:u w:val="single"/>
        </w:rPr>
      </w:pPr>
      <w:r>
        <w:rPr>
          <w:rFonts w:hint="eastAsia"/>
          <w:b/>
          <w:bCs/>
        </w:rPr>
        <w:t>投标单位全称（加盖单位公章）：</w:t>
      </w:r>
    </w:p>
    <w:p w14:paraId="4B3D0EE0">
      <w:pPr>
        <w:pStyle w:val="39"/>
        <w:spacing w:line="520" w:lineRule="exact"/>
        <w:jc w:val="both"/>
        <w:rPr>
          <w:b/>
          <w:bCs/>
          <w:u w:val="single"/>
        </w:rPr>
      </w:pPr>
      <w:r>
        <w:rPr>
          <w:rFonts w:hint="eastAsia"/>
          <w:b/>
        </w:rPr>
        <w:t>法定代表人或其授权委托人（</w:t>
      </w:r>
      <w:r>
        <w:rPr>
          <w:rFonts w:hint="eastAsia"/>
          <w:b/>
          <w:bCs/>
        </w:rPr>
        <w:t>签字或盖章）：</w:t>
      </w:r>
    </w:p>
    <w:p w14:paraId="33D1A83E">
      <w:pPr>
        <w:pStyle w:val="39"/>
        <w:spacing w:line="520" w:lineRule="exact"/>
        <w:jc w:val="both"/>
        <w:rPr>
          <w:b/>
          <w:bCs/>
        </w:rPr>
      </w:pPr>
      <w:r>
        <w:rPr>
          <w:rFonts w:hint="eastAsia"/>
          <w:b/>
          <w:bCs/>
        </w:rPr>
        <w:t>日期：  年   月   日</w:t>
      </w:r>
    </w:p>
    <w:p w14:paraId="1071E6AC">
      <w:pPr>
        <w:pStyle w:val="67"/>
        <w:ind w:left="80" w:leftChars="38" w:firstLine="0" w:firstLineChars="0"/>
        <w:jc w:val="left"/>
        <w:rPr>
          <w:rFonts w:ascii="宋体" w:hAnsi="宋体" w:cs="宋体"/>
          <w:b/>
          <w:sz w:val="15"/>
          <w:szCs w:val="15"/>
        </w:rPr>
      </w:pPr>
      <w:r>
        <w:rPr>
          <w:rFonts w:hint="eastAsia" w:ascii="宋体" w:hAnsi="宋体" w:cs="宋体"/>
          <w:b/>
          <w:sz w:val="15"/>
          <w:szCs w:val="15"/>
        </w:rPr>
        <w:t xml:space="preserve">注： 1、投标人投标报价单中的投标报价不得超过本采购项目预算，否则按无效投标处理。 </w:t>
      </w:r>
    </w:p>
    <w:p w14:paraId="4352F3B9">
      <w:pPr>
        <w:pStyle w:val="67"/>
        <w:numPr>
          <w:ilvl w:val="0"/>
          <w:numId w:val="11"/>
        </w:numPr>
        <w:ind w:left="380" w:leftChars="181" w:firstLine="148" w:firstLineChars="98"/>
        <w:rPr>
          <w:rFonts w:ascii="宋体" w:hAnsi="宋体" w:cs="宋体"/>
          <w:b/>
          <w:sz w:val="15"/>
          <w:szCs w:val="15"/>
        </w:rPr>
      </w:pPr>
      <w:r>
        <w:rPr>
          <w:rFonts w:hint="eastAsia" w:ascii="宋体" w:hAnsi="宋体" w:cs="宋体"/>
          <w:b/>
          <w:sz w:val="15"/>
          <w:szCs w:val="15"/>
        </w:rPr>
        <w:t>本报价非最终报价，最终报价以现场报价单为准。</w:t>
      </w:r>
    </w:p>
    <w:p w14:paraId="00CFDAF2">
      <w:pPr>
        <w:pStyle w:val="67"/>
        <w:numPr>
          <w:ilvl w:val="0"/>
          <w:numId w:val="11"/>
        </w:numPr>
        <w:ind w:left="380" w:leftChars="181" w:firstLine="148" w:firstLineChars="98"/>
        <w:rPr>
          <w:rFonts w:ascii="宋体" w:hAnsi="宋体" w:cs="宋体"/>
          <w:b/>
          <w:sz w:val="15"/>
          <w:szCs w:val="15"/>
        </w:rPr>
      </w:pPr>
      <w:r>
        <w:rPr>
          <w:rFonts w:hint="eastAsia" w:ascii="宋体" w:hAnsi="宋体" w:cs="宋体"/>
          <w:b/>
          <w:sz w:val="15"/>
          <w:szCs w:val="15"/>
        </w:rPr>
        <w:t>说明：投标报价采用总承包方式，包括安装、调试、人员培训及售后服务、技术支持服务、技术培训直到用户能独立操作和使用、一切税费及招标代理费等采购文件要求的所有费用，及其他有关的为完成本项目发生的所有费用，同时，报价也应包含合同履行过程中可能发生的各项风险。服务期内投标供应商须将所有设备维护完好，按照采购人要求进行日常维护和管理，保证设备的正常使用。</w:t>
      </w:r>
    </w:p>
    <w:p w14:paraId="79C0CEA8">
      <w:pPr>
        <w:pStyle w:val="4"/>
        <w:spacing w:before="240" w:after="240"/>
        <w:jc w:val="center"/>
        <w:rPr>
          <w:rFonts w:ascii="宋体" w:hAnsi="宋体" w:eastAsia="宋体" w:cs="宋体"/>
        </w:rPr>
      </w:pPr>
      <w:r>
        <w:rPr>
          <w:rFonts w:hint="eastAsia" w:ascii="宋体" w:hAnsi="宋体" w:eastAsia="宋体" w:cs="宋体"/>
        </w:rPr>
        <w:t>投标分项报价表（二）</w:t>
      </w:r>
    </w:p>
    <w:p w14:paraId="477544A4">
      <w:pPr>
        <w:wordWrap w:val="0"/>
        <w:spacing w:line="360" w:lineRule="auto"/>
        <w:ind w:right="515"/>
        <w:rPr>
          <w:rFonts w:ascii="宋体" w:hAnsi="宋体" w:cs="宋体"/>
          <w:szCs w:val="21"/>
        </w:rPr>
      </w:pPr>
      <w:r>
        <w:rPr>
          <w:rFonts w:hint="eastAsia" w:ascii="宋体" w:hAnsi="宋体" w:cs="宋体"/>
          <w:szCs w:val="21"/>
        </w:rPr>
        <w:t>投标人名称：            单位：人民币（RMB）元</w:t>
      </w:r>
    </w:p>
    <w:tbl>
      <w:tblPr>
        <w:tblStyle w:val="44"/>
        <w:tblW w:w="10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532"/>
        <w:gridCol w:w="465"/>
        <w:gridCol w:w="2017"/>
        <w:gridCol w:w="1772"/>
        <w:gridCol w:w="1910"/>
        <w:gridCol w:w="1729"/>
      </w:tblGrid>
      <w:tr w14:paraId="0EDC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14:paraId="2AB085E8">
            <w:pPr>
              <w:pStyle w:val="2"/>
              <w:rPr>
                <w:rFonts w:ascii="宋体" w:hAnsi="宋体" w:cs="宋体"/>
                <w:sz w:val="24"/>
              </w:rPr>
            </w:pPr>
            <w:r>
              <w:rPr>
                <w:rFonts w:hint="eastAsia" w:ascii="宋体" w:hAnsi="宋体" w:cs="宋体"/>
                <w:sz w:val="24"/>
              </w:rPr>
              <w:t>货物名称</w:t>
            </w:r>
          </w:p>
        </w:tc>
        <w:tc>
          <w:tcPr>
            <w:tcW w:w="532" w:type="dxa"/>
          </w:tcPr>
          <w:p w14:paraId="63D28409">
            <w:pPr>
              <w:pStyle w:val="2"/>
              <w:rPr>
                <w:rFonts w:ascii="宋体" w:hAnsi="宋体" w:cs="宋体"/>
                <w:sz w:val="24"/>
              </w:rPr>
            </w:pPr>
            <w:r>
              <w:rPr>
                <w:rFonts w:hint="eastAsia" w:ascii="宋体" w:hAnsi="宋体" w:cs="宋体"/>
                <w:sz w:val="24"/>
              </w:rPr>
              <w:t>单位</w:t>
            </w:r>
          </w:p>
        </w:tc>
        <w:tc>
          <w:tcPr>
            <w:tcW w:w="465" w:type="dxa"/>
          </w:tcPr>
          <w:p w14:paraId="7AD0ABA6">
            <w:pPr>
              <w:pStyle w:val="2"/>
              <w:rPr>
                <w:rFonts w:ascii="宋体" w:hAnsi="宋体" w:cs="宋体"/>
                <w:sz w:val="24"/>
              </w:rPr>
            </w:pPr>
            <w:r>
              <w:rPr>
                <w:rFonts w:hint="eastAsia" w:ascii="宋体" w:hAnsi="宋体" w:cs="宋体"/>
                <w:sz w:val="24"/>
              </w:rPr>
              <w:t>数量</w:t>
            </w:r>
          </w:p>
        </w:tc>
        <w:tc>
          <w:tcPr>
            <w:tcW w:w="2017" w:type="dxa"/>
          </w:tcPr>
          <w:p w14:paraId="09F4C482">
            <w:pPr>
              <w:pStyle w:val="2"/>
              <w:rPr>
                <w:rFonts w:ascii="宋体" w:hAnsi="宋体" w:cs="宋体"/>
                <w:sz w:val="24"/>
              </w:rPr>
            </w:pPr>
            <w:r>
              <w:rPr>
                <w:rFonts w:hint="eastAsia" w:ascii="宋体" w:hAnsi="宋体" w:cs="宋体"/>
                <w:sz w:val="24"/>
              </w:rPr>
              <w:t>规格型号</w:t>
            </w:r>
          </w:p>
        </w:tc>
        <w:tc>
          <w:tcPr>
            <w:tcW w:w="1772" w:type="dxa"/>
          </w:tcPr>
          <w:p w14:paraId="232D2EE1">
            <w:pPr>
              <w:pStyle w:val="2"/>
              <w:rPr>
                <w:rFonts w:ascii="宋体" w:hAnsi="宋体" w:cs="宋体"/>
                <w:sz w:val="24"/>
              </w:rPr>
            </w:pPr>
            <w:r>
              <w:rPr>
                <w:rFonts w:hint="eastAsia" w:ascii="宋体" w:hAnsi="宋体" w:cs="宋体"/>
                <w:sz w:val="24"/>
              </w:rPr>
              <w:t>品牌</w:t>
            </w:r>
          </w:p>
        </w:tc>
        <w:tc>
          <w:tcPr>
            <w:tcW w:w="1910" w:type="dxa"/>
          </w:tcPr>
          <w:p w14:paraId="4F44B81D">
            <w:pPr>
              <w:pStyle w:val="2"/>
              <w:rPr>
                <w:rFonts w:ascii="宋体" w:hAnsi="宋体" w:cs="宋体"/>
                <w:sz w:val="24"/>
              </w:rPr>
            </w:pPr>
            <w:r>
              <w:rPr>
                <w:rFonts w:hint="eastAsia" w:ascii="宋体" w:hAnsi="宋体" w:cs="宋体"/>
                <w:sz w:val="24"/>
              </w:rPr>
              <w:t>单价（元）</w:t>
            </w:r>
          </w:p>
        </w:tc>
        <w:tc>
          <w:tcPr>
            <w:tcW w:w="1729" w:type="dxa"/>
          </w:tcPr>
          <w:p w14:paraId="21C5E2DC">
            <w:pPr>
              <w:pStyle w:val="2"/>
              <w:rPr>
                <w:rFonts w:ascii="宋体" w:hAnsi="宋体" w:cs="宋体"/>
                <w:sz w:val="24"/>
              </w:rPr>
            </w:pPr>
            <w:r>
              <w:rPr>
                <w:rFonts w:hint="eastAsia" w:ascii="宋体" w:hAnsi="宋体" w:cs="宋体"/>
                <w:sz w:val="24"/>
              </w:rPr>
              <w:t>总价（元）</w:t>
            </w:r>
          </w:p>
        </w:tc>
      </w:tr>
      <w:tr w14:paraId="05C4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14:paraId="0E852DF4">
            <w:pPr>
              <w:pStyle w:val="2"/>
              <w:rPr>
                <w:rFonts w:ascii="宋体" w:hAnsi="宋体" w:cs="宋体"/>
                <w:sz w:val="24"/>
              </w:rPr>
            </w:pPr>
            <w:r>
              <w:rPr>
                <w:rFonts w:hint="eastAsia" w:ascii="宋体" w:hAnsi="宋体" w:cs="宋体"/>
                <w:sz w:val="24"/>
              </w:rPr>
              <w:t>江苏人社一体化平台协议机构接口</w:t>
            </w:r>
          </w:p>
        </w:tc>
        <w:tc>
          <w:tcPr>
            <w:tcW w:w="532" w:type="dxa"/>
          </w:tcPr>
          <w:p w14:paraId="561E59D4">
            <w:pPr>
              <w:pStyle w:val="2"/>
              <w:rPr>
                <w:rFonts w:ascii="宋体" w:hAnsi="宋体" w:cs="宋体"/>
                <w:sz w:val="24"/>
              </w:rPr>
            </w:pPr>
            <w:r>
              <w:rPr>
                <w:rFonts w:hint="eastAsia" w:ascii="宋体" w:hAnsi="宋体" w:cs="宋体"/>
                <w:sz w:val="24"/>
              </w:rPr>
              <w:t>套</w:t>
            </w:r>
          </w:p>
        </w:tc>
        <w:tc>
          <w:tcPr>
            <w:tcW w:w="465" w:type="dxa"/>
          </w:tcPr>
          <w:p w14:paraId="1D9571E6">
            <w:pPr>
              <w:pStyle w:val="2"/>
              <w:rPr>
                <w:rFonts w:ascii="宋体" w:hAnsi="宋体" w:cs="宋体"/>
                <w:sz w:val="24"/>
              </w:rPr>
            </w:pPr>
            <w:r>
              <w:rPr>
                <w:rFonts w:hint="eastAsia" w:ascii="宋体" w:hAnsi="宋体" w:cs="宋体"/>
                <w:sz w:val="24"/>
              </w:rPr>
              <w:t>1</w:t>
            </w:r>
          </w:p>
        </w:tc>
        <w:tc>
          <w:tcPr>
            <w:tcW w:w="2017" w:type="dxa"/>
          </w:tcPr>
          <w:p w14:paraId="00F94D2B">
            <w:pPr>
              <w:pStyle w:val="2"/>
              <w:rPr>
                <w:rFonts w:ascii="宋体" w:hAnsi="宋体" w:cs="宋体"/>
                <w:sz w:val="24"/>
              </w:rPr>
            </w:pPr>
          </w:p>
        </w:tc>
        <w:tc>
          <w:tcPr>
            <w:tcW w:w="1772" w:type="dxa"/>
          </w:tcPr>
          <w:p w14:paraId="045F421B">
            <w:pPr>
              <w:pStyle w:val="2"/>
              <w:rPr>
                <w:rFonts w:ascii="宋体" w:hAnsi="宋体" w:cs="宋体"/>
                <w:sz w:val="24"/>
              </w:rPr>
            </w:pPr>
          </w:p>
        </w:tc>
        <w:tc>
          <w:tcPr>
            <w:tcW w:w="1910" w:type="dxa"/>
          </w:tcPr>
          <w:p w14:paraId="6FE5F363">
            <w:pPr>
              <w:pStyle w:val="2"/>
              <w:rPr>
                <w:rFonts w:ascii="宋体" w:hAnsi="宋体" w:cs="宋体"/>
                <w:sz w:val="24"/>
              </w:rPr>
            </w:pPr>
          </w:p>
        </w:tc>
        <w:tc>
          <w:tcPr>
            <w:tcW w:w="1729" w:type="dxa"/>
          </w:tcPr>
          <w:p w14:paraId="2CD5D1B4">
            <w:pPr>
              <w:pStyle w:val="2"/>
              <w:rPr>
                <w:rFonts w:ascii="宋体" w:hAnsi="宋体" w:cs="宋体"/>
                <w:sz w:val="24"/>
              </w:rPr>
            </w:pPr>
          </w:p>
        </w:tc>
      </w:tr>
      <w:tr w14:paraId="65F1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04" w:type="dxa"/>
            <w:vMerge w:val="restart"/>
            <w:vAlign w:val="center"/>
          </w:tcPr>
          <w:p w14:paraId="1D46A9B0">
            <w:pPr>
              <w:pStyle w:val="2"/>
              <w:jc w:val="center"/>
              <w:rPr>
                <w:rFonts w:ascii="宋体" w:hAnsi="宋体" w:cs="宋体"/>
                <w:sz w:val="24"/>
              </w:rPr>
            </w:pPr>
            <w:r>
              <w:rPr>
                <w:rFonts w:hint="eastAsia" w:ascii="宋体" w:hAnsi="宋体" w:cs="宋体"/>
                <w:sz w:val="24"/>
              </w:rPr>
              <w:t>合计</w:t>
            </w:r>
          </w:p>
        </w:tc>
        <w:tc>
          <w:tcPr>
            <w:tcW w:w="8425" w:type="dxa"/>
            <w:gridSpan w:val="6"/>
          </w:tcPr>
          <w:p w14:paraId="32AE6856">
            <w:pPr>
              <w:pStyle w:val="2"/>
              <w:rPr>
                <w:rFonts w:ascii="宋体" w:hAnsi="宋体" w:cs="宋体"/>
                <w:sz w:val="24"/>
              </w:rPr>
            </w:pPr>
            <w:r>
              <w:rPr>
                <w:rFonts w:hint="eastAsia" w:ascii="宋体" w:hAnsi="宋体" w:cs="宋体"/>
                <w:sz w:val="24"/>
              </w:rPr>
              <w:t>小写：</w:t>
            </w:r>
          </w:p>
        </w:tc>
      </w:tr>
      <w:tr w14:paraId="6817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04" w:type="dxa"/>
            <w:vMerge w:val="continue"/>
          </w:tcPr>
          <w:p w14:paraId="183355D3">
            <w:pPr>
              <w:pStyle w:val="2"/>
              <w:rPr>
                <w:rFonts w:ascii="宋体" w:hAnsi="宋体" w:cs="宋体"/>
                <w:sz w:val="24"/>
              </w:rPr>
            </w:pPr>
          </w:p>
        </w:tc>
        <w:tc>
          <w:tcPr>
            <w:tcW w:w="8425" w:type="dxa"/>
            <w:gridSpan w:val="6"/>
          </w:tcPr>
          <w:p w14:paraId="46EDE86B">
            <w:pPr>
              <w:pStyle w:val="2"/>
              <w:rPr>
                <w:rFonts w:ascii="宋体" w:hAnsi="宋体" w:cs="宋体"/>
                <w:sz w:val="24"/>
              </w:rPr>
            </w:pPr>
            <w:r>
              <w:rPr>
                <w:rFonts w:hint="eastAsia" w:ascii="宋体" w:hAnsi="宋体" w:cs="宋体"/>
                <w:sz w:val="24"/>
              </w:rPr>
              <w:t>大写：</w:t>
            </w:r>
          </w:p>
        </w:tc>
      </w:tr>
    </w:tbl>
    <w:p w14:paraId="2F2A91DE">
      <w:pPr>
        <w:pStyle w:val="24"/>
        <w:spacing w:line="420" w:lineRule="exact"/>
        <w:rPr>
          <w:rFonts w:hAnsi="宋体" w:cs="宋体"/>
          <w:b/>
          <w:bCs/>
          <w:sz w:val="24"/>
          <w:szCs w:val="24"/>
        </w:rPr>
      </w:pPr>
      <w:r>
        <w:rPr>
          <w:rFonts w:hint="eastAsia" w:hAnsi="宋体" w:cs="宋体"/>
          <w:b/>
          <w:bCs/>
          <w:sz w:val="24"/>
          <w:szCs w:val="24"/>
        </w:rPr>
        <w:t>备注：本表中的合计必须与投标总报价一致，投标总报价必须与投标报价单中总价一致。</w:t>
      </w:r>
    </w:p>
    <w:p w14:paraId="2051DDED">
      <w:pPr>
        <w:pStyle w:val="24"/>
        <w:spacing w:line="420" w:lineRule="exact"/>
        <w:rPr>
          <w:rFonts w:hAnsi="宋体" w:cs="宋体"/>
          <w:bCs/>
          <w:sz w:val="24"/>
          <w:szCs w:val="24"/>
          <w:u w:val="single"/>
        </w:rPr>
      </w:pPr>
      <w:r>
        <w:rPr>
          <w:rFonts w:hint="eastAsia" w:hAnsi="宋体" w:cs="宋体"/>
          <w:bCs/>
          <w:sz w:val="24"/>
          <w:szCs w:val="24"/>
        </w:rPr>
        <w:t>投标人（盖法人章）：</w:t>
      </w:r>
    </w:p>
    <w:p w14:paraId="0B818713">
      <w:pPr>
        <w:spacing w:line="420" w:lineRule="exact"/>
        <w:rPr>
          <w:rFonts w:ascii="宋体" w:hAnsi="宋体" w:cs="宋体"/>
          <w:bCs/>
          <w:sz w:val="24"/>
        </w:rPr>
      </w:pPr>
      <w:r>
        <w:rPr>
          <w:rFonts w:hint="eastAsia" w:ascii="宋体" w:hAnsi="宋体" w:cs="宋体"/>
          <w:sz w:val="24"/>
        </w:rPr>
        <w:t>法定代表人或代理人（签字或盖章）：</w:t>
      </w:r>
    </w:p>
    <w:p w14:paraId="326B8133">
      <w:pPr>
        <w:widowControl/>
        <w:spacing w:line="420" w:lineRule="exact"/>
        <w:rPr>
          <w:rFonts w:ascii="宋体" w:hAnsi="宋体" w:cs="宋体"/>
          <w:bCs/>
          <w:kern w:val="0"/>
          <w:sz w:val="24"/>
          <w:u w:val="single"/>
        </w:rPr>
      </w:pPr>
      <w:r>
        <w:rPr>
          <w:rFonts w:hint="eastAsia" w:ascii="宋体" w:hAnsi="宋体" w:cs="宋体"/>
          <w:bCs/>
          <w:kern w:val="0"/>
          <w:sz w:val="24"/>
        </w:rPr>
        <w:t>日     期：</w:t>
      </w:r>
    </w:p>
    <w:p w14:paraId="2BB3B2F3">
      <w:pPr>
        <w:pStyle w:val="2"/>
        <w:spacing w:line="360" w:lineRule="auto"/>
        <w:ind w:firstLine="482" w:firstLineChars="200"/>
        <w:rPr>
          <w:rFonts w:ascii="宋体" w:hAnsi="宋体" w:cs="宋体"/>
          <w:b/>
          <w:sz w:val="24"/>
        </w:rPr>
      </w:pPr>
    </w:p>
    <w:p w14:paraId="13622B99">
      <w:pPr>
        <w:pStyle w:val="2"/>
        <w:spacing w:line="360" w:lineRule="auto"/>
        <w:rPr>
          <w:rFonts w:ascii="宋体" w:hAnsi="宋体" w:cs="宋体"/>
          <w:b/>
          <w:sz w:val="24"/>
        </w:rPr>
      </w:pPr>
      <w:r>
        <w:rPr>
          <w:rFonts w:hint="eastAsia" w:ascii="宋体" w:hAnsi="宋体" w:cs="宋体"/>
          <w:b/>
          <w:sz w:val="24"/>
        </w:rPr>
        <w:t>1.说明：投标报价采用总承包方式，包括安装、调试、人员培训及售后服务、技术支持服务、技术培训直到用户能独立操作和使用、一切税费及招标代理费等采购文件要求的所有费用，及其他有关的为完成本项目发生的所有费用，同时，报价也应包含合同履行过程中可能发生的各项风险。服务期内投标供应商须将所有设备维护完好，按照采购人要求进行日常维护和管理，保证设备的正常使用。</w:t>
      </w:r>
    </w:p>
    <w:p w14:paraId="1CF18A96">
      <w:pPr>
        <w:spacing w:line="420" w:lineRule="exact"/>
        <w:rPr>
          <w:rFonts w:ascii="宋体" w:hAnsi="宋体" w:cs="宋体"/>
          <w:b/>
          <w:sz w:val="24"/>
        </w:rPr>
      </w:pPr>
    </w:p>
    <w:p w14:paraId="0ACD9B1C">
      <w:pPr>
        <w:pStyle w:val="2"/>
        <w:rPr>
          <w:rFonts w:ascii="宋体" w:hAnsi="宋体" w:cs="宋体"/>
          <w:b/>
          <w:bCs/>
          <w:kern w:val="0"/>
          <w:sz w:val="27"/>
        </w:rPr>
      </w:pPr>
    </w:p>
    <w:p w14:paraId="2086B5D9">
      <w:pPr>
        <w:pStyle w:val="2"/>
        <w:rPr>
          <w:rFonts w:ascii="宋体" w:hAnsi="宋体" w:cs="宋体"/>
          <w:b/>
          <w:bCs/>
          <w:kern w:val="0"/>
          <w:sz w:val="27"/>
        </w:rPr>
      </w:pPr>
    </w:p>
    <w:p w14:paraId="3696326D">
      <w:pPr>
        <w:widowControl/>
        <w:spacing w:before="100" w:beforeAutospacing="1" w:after="100" w:afterAutospacing="1" w:line="225" w:lineRule="atLeast"/>
        <w:rPr>
          <w:rFonts w:ascii="宋体" w:hAnsi="宋体" w:cs="宋体"/>
          <w:b/>
          <w:bCs/>
          <w:kern w:val="0"/>
          <w:sz w:val="27"/>
          <w:szCs w:val="24"/>
        </w:rPr>
      </w:pPr>
    </w:p>
    <w:p w14:paraId="139677F3">
      <w:pPr>
        <w:pStyle w:val="2"/>
        <w:rPr>
          <w:rFonts w:ascii="宋体" w:hAnsi="宋体" w:cs="宋体"/>
          <w:b/>
          <w:bCs/>
          <w:kern w:val="0"/>
          <w:sz w:val="27"/>
        </w:rPr>
      </w:pPr>
    </w:p>
    <w:p w14:paraId="650C1C12">
      <w:pPr>
        <w:pStyle w:val="2"/>
        <w:rPr>
          <w:rFonts w:ascii="宋体" w:hAnsi="宋体" w:cs="宋体"/>
          <w:b/>
          <w:bCs/>
          <w:kern w:val="0"/>
          <w:sz w:val="27"/>
        </w:rPr>
      </w:pPr>
    </w:p>
    <w:p w14:paraId="05A816B1">
      <w:pPr>
        <w:pStyle w:val="2"/>
        <w:rPr>
          <w:rFonts w:ascii="宋体" w:hAnsi="宋体" w:cs="宋体"/>
          <w:b/>
          <w:bCs/>
          <w:kern w:val="0"/>
          <w:sz w:val="27"/>
        </w:rPr>
      </w:pPr>
    </w:p>
    <w:p w14:paraId="1F6C3742">
      <w:pPr>
        <w:widowControl/>
        <w:spacing w:before="100" w:beforeAutospacing="1" w:after="100" w:afterAutospacing="1" w:line="225" w:lineRule="atLeast"/>
        <w:rPr>
          <w:rFonts w:ascii="宋体" w:hAnsi="宋体" w:cs="宋体"/>
          <w:b/>
          <w:bCs/>
          <w:kern w:val="0"/>
          <w:sz w:val="27"/>
          <w:szCs w:val="24"/>
        </w:rPr>
      </w:pPr>
      <w:r>
        <w:rPr>
          <w:rFonts w:hint="eastAsia" w:ascii="宋体" w:hAnsi="宋体" w:cs="宋体"/>
          <w:b/>
          <w:bCs/>
          <w:kern w:val="0"/>
          <w:sz w:val="27"/>
          <w:szCs w:val="24"/>
        </w:rPr>
        <w:t>附件八：</w:t>
      </w:r>
    </w:p>
    <w:p w14:paraId="29A6BF79">
      <w:pPr>
        <w:spacing w:line="360" w:lineRule="auto"/>
        <w:jc w:val="center"/>
        <w:rPr>
          <w:rFonts w:ascii="宋体" w:hAnsi="宋体" w:cs="宋体"/>
          <w:b/>
          <w:sz w:val="30"/>
          <w:szCs w:val="30"/>
        </w:rPr>
      </w:pPr>
      <w:r>
        <w:rPr>
          <w:rFonts w:hint="eastAsia" w:ascii="宋体" w:hAnsi="宋体" w:cs="宋体"/>
          <w:b/>
          <w:sz w:val="30"/>
          <w:szCs w:val="30"/>
        </w:rPr>
        <w:t>商务偏离表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535"/>
        <w:gridCol w:w="2181"/>
        <w:gridCol w:w="1788"/>
        <w:gridCol w:w="1295"/>
        <w:gridCol w:w="1360"/>
      </w:tblGrid>
      <w:tr w14:paraId="67A8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1D237C53">
            <w:pPr>
              <w:spacing w:line="360" w:lineRule="auto"/>
              <w:jc w:val="center"/>
              <w:rPr>
                <w:rFonts w:ascii="宋体" w:hAnsi="宋体" w:cs="宋体"/>
                <w:b/>
                <w:sz w:val="24"/>
                <w:szCs w:val="24"/>
              </w:rPr>
            </w:pPr>
            <w:r>
              <w:rPr>
                <w:rFonts w:hint="eastAsia" w:ascii="宋体" w:hAnsi="宋体" w:cs="宋体"/>
                <w:b/>
                <w:sz w:val="24"/>
                <w:szCs w:val="24"/>
              </w:rPr>
              <w:t>序号</w:t>
            </w:r>
          </w:p>
        </w:tc>
        <w:tc>
          <w:tcPr>
            <w:tcW w:w="2535" w:type="dxa"/>
            <w:vAlign w:val="center"/>
          </w:tcPr>
          <w:p w14:paraId="319FF8F3">
            <w:pPr>
              <w:spacing w:line="360" w:lineRule="auto"/>
              <w:jc w:val="center"/>
              <w:rPr>
                <w:rFonts w:ascii="宋体" w:hAnsi="宋体" w:cs="宋体"/>
                <w:b/>
                <w:sz w:val="24"/>
                <w:szCs w:val="24"/>
              </w:rPr>
            </w:pPr>
            <w:r>
              <w:rPr>
                <w:rFonts w:hint="eastAsia" w:ascii="宋体" w:hAnsi="宋体" w:cs="宋体"/>
                <w:b/>
                <w:sz w:val="24"/>
                <w:szCs w:val="24"/>
              </w:rPr>
              <w:t>商务条款</w:t>
            </w:r>
          </w:p>
        </w:tc>
        <w:tc>
          <w:tcPr>
            <w:tcW w:w="2181" w:type="dxa"/>
            <w:vAlign w:val="center"/>
          </w:tcPr>
          <w:p w14:paraId="473FD5AD">
            <w:pPr>
              <w:spacing w:line="360" w:lineRule="auto"/>
              <w:jc w:val="center"/>
              <w:rPr>
                <w:rFonts w:ascii="宋体" w:hAnsi="宋体" w:cs="宋体"/>
                <w:b/>
                <w:sz w:val="24"/>
                <w:szCs w:val="24"/>
              </w:rPr>
            </w:pPr>
            <w:r>
              <w:rPr>
                <w:rFonts w:hint="eastAsia" w:ascii="宋体" w:hAnsi="宋体" w:cs="宋体"/>
                <w:b/>
                <w:sz w:val="24"/>
                <w:szCs w:val="24"/>
              </w:rPr>
              <w:t>采购文件要求</w:t>
            </w:r>
          </w:p>
        </w:tc>
        <w:tc>
          <w:tcPr>
            <w:tcW w:w="1788" w:type="dxa"/>
            <w:vAlign w:val="center"/>
          </w:tcPr>
          <w:p w14:paraId="2B65492D">
            <w:pPr>
              <w:spacing w:line="360" w:lineRule="auto"/>
              <w:jc w:val="center"/>
              <w:rPr>
                <w:rFonts w:ascii="宋体" w:hAnsi="宋体" w:cs="宋体"/>
                <w:b/>
                <w:sz w:val="24"/>
                <w:szCs w:val="24"/>
              </w:rPr>
            </w:pPr>
            <w:r>
              <w:rPr>
                <w:rFonts w:hint="eastAsia" w:ascii="宋体" w:hAnsi="宋体" w:cs="宋体"/>
                <w:b/>
                <w:sz w:val="24"/>
                <w:szCs w:val="24"/>
              </w:rPr>
              <w:t>投标文件</w:t>
            </w:r>
          </w:p>
          <w:p w14:paraId="777FC74A">
            <w:pPr>
              <w:spacing w:line="360" w:lineRule="auto"/>
              <w:jc w:val="center"/>
              <w:rPr>
                <w:rFonts w:ascii="宋体" w:hAnsi="宋体" w:cs="宋体"/>
                <w:b/>
                <w:sz w:val="24"/>
                <w:szCs w:val="24"/>
              </w:rPr>
            </w:pPr>
            <w:r>
              <w:rPr>
                <w:rFonts w:hint="eastAsia" w:ascii="宋体" w:hAnsi="宋体" w:cs="宋体"/>
                <w:b/>
                <w:sz w:val="24"/>
                <w:szCs w:val="24"/>
              </w:rPr>
              <w:t>响应情况</w:t>
            </w:r>
          </w:p>
        </w:tc>
        <w:tc>
          <w:tcPr>
            <w:tcW w:w="1295" w:type="dxa"/>
            <w:vAlign w:val="center"/>
          </w:tcPr>
          <w:p w14:paraId="537C59F8">
            <w:pPr>
              <w:spacing w:line="360" w:lineRule="auto"/>
              <w:jc w:val="center"/>
              <w:rPr>
                <w:rFonts w:ascii="宋体" w:hAnsi="宋体" w:cs="宋体"/>
                <w:b/>
                <w:sz w:val="24"/>
                <w:szCs w:val="24"/>
              </w:rPr>
            </w:pPr>
            <w:r>
              <w:rPr>
                <w:rFonts w:hint="eastAsia" w:ascii="宋体" w:hAnsi="宋体" w:cs="宋体"/>
                <w:b/>
                <w:sz w:val="24"/>
                <w:szCs w:val="24"/>
              </w:rPr>
              <w:t>偏离情况</w:t>
            </w:r>
          </w:p>
        </w:tc>
        <w:tc>
          <w:tcPr>
            <w:tcW w:w="1360" w:type="dxa"/>
            <w:vAlign w:val="center"/>
          </w:tcPr>
          <w:p w14:paraId="09077A59">
            <w:pPr>
              <w:spacing w:line="360" w:lineRule="auto"/>
              <w:jc w:val="center"/>
              <w:rPr>
                <w:rFonts w:ascii="宋体" w:hAnsi="宋体" w:cs="宋体"/>
                <w:b/>
                <w:sz w:val="24"/>
                <w:szCs w:val="24"/>
              </w:rPr>
            </w:pPr>
            <w:r>
              <w:rPr>
                <w:rFonts w:hint="eastAsia" w:ascii="宋体" w:hAnsi="宋体" w:cs="宋体"/>
                <w:b/>
                <w:sz w:val="24"/>
                <w:szCs w:val="24"/>
              </w:rPr>
              <w:t>偏离说明</w:t>
            </w:r>
          </w:p>
        </w:tc>
      </w:tr>
      <w:tr w14:paraId="6D53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34A77C05">
            <w:pPr>
              <w:spacing w:line="360" w:lineRule="auto"/>
              <w:jc w:val="center"/>
              <w:rPr>
                <w:rFonts w:ascii="宋体" w:hAnsi="宋体" w:cs="宋体"/>
                <w:sz w:val="24"/>
                <w:szCs w:val="24"/>
              </w:rPr>
            </w:pPr>
            <w:r>
              <w:rPr>
                <w:rFonts w:hint="eastAsia" w:ascii="宋体" w:hAnsi="宋体" w:cs="宋体"/>
                <w:sz w:val="24"/>
                <w:szCs w:val="24"/>
              </w:rPr>
              <w:t>1</w:t>
            </w:r>
          </w:p>
        </w:tc>
        <w:tc>
          <w:tcPr>
            <w:tcW w:w="2535" w:type="dxa"/>
            <w:vAlign w:val="center"/>
          </w:tcPr>
          <w:p w14:paraId="5AA1FEA3">
            <w:pPr>
              <w:spacing w:line="360" w:lineRule="auto"/>
              <w:jc w:val="center"/>
              <w:rPr>
                <w:rFonts w:ascii="宋体" w:hAnsi="宋体" w:cs="宋体"/>
                <w:sz w:val="24"/>
                <w:szCs w:val="24"/>
              </w:rPr>
            </w:pPr>
            <w:r>
              <w:rPr>
                <w:rFonts w:hint="eastAsia" w:ascii="宋体" w:hAnsi="宋体" w:cs="宋体"/>
                <w:sz w:val="24"/>
                <w:szCs w:val="24"/>
              </w:rPr>
              <w:t>交货期及交货地点</w:t>
            </w:r>
          </w:p>
        </w:tc>
        <w:tc>
          <w:tcPr>
            <w:tcW w:w="2181" w:type="dxa"/>
            <w:vAlign w:val="center"/>
          </w:tcPr>
          <w:p w14:paraId="19193FF0">
            <w:pPr>
              <w:pStyle w:val="24"/>
              <w:adjustRightInd w:val="0"/>
              <w:snapToGrid w:val="0"/>
              <w:spacing w:beforeLines="50"/>
              <w:jc w:val="center"/>
              <w:rPr>
                <w:rFonts w:hAnsi="宋体" w:cs="宋体"/>
                <w:b/>
                <w:bCs/>
                <w:sz w:val="24"/>
                <w:szCs w:val="24"/>
              </w:rPr>
            </w:pPr>
            <w:r>
              <w:rPr>
                <w:rFonts w:hint="eastAsia" w:hAnsi="宋体" w:cs="宋体"/>
                <w:sz w:val="24"/>
                <w:szCs w:val="24"/>
              </w:rPr>
              <w:t>详见文件</w:t>
            </w:r>
          </w:p>
        </w:tc>
        <w:tc>
          <w:tcPr>
            <w:tcW w:w="1788" w:type="dxa"/>
            <w:vAlign w:val="center"/>
          </w:tcPr>
          <w:p w14:paraId="74CB136C">
            <w:pPr>
              <w:spacing w:line="360" w:lineRule="auto"/>
              <w:jc w:val="center"/>
              <w:rPr>
                <w:rFonts w:ascii="宋体" w:hAnsi="宋体" w:cs="宋体"/>
                <w:sz w:val="24"/>
                <w:szCs w:val="24"/>
              </w:rPr>
            </w:pPr>
          </w:p>
        </w:tc>
        <w:tc>
          <w:tcPr>
            <w:tcW w:w="1295" w:type="dxa"/>
            <w:vAlign w:val="center"/>
          </w:tcPr>
          <w:p w14:paraId="441A595E">
            <w:pPr>
              <w:spacing w:line="360" w:lineRule="auto"/>
              <w:jc w:val="center"/>
              <w:rPr>
                <w:rFonts w:ascii="宋体" w:hAnsi="宋体" w:cs="宋体"/>
                <w:sz w:val="24"/>
                <w:szCs w:val="24"/>
              </w:rPr>
            </w:pPr>
          </w:p>
        </w:tc>
        <w:tc>
          <w:tcPr>
            <w:tcW w:w="1360" w:type="dxa"/>
            <w:vAlign w:val="center"/>
          </w:tcPr>
          <w:p w14:paraId="3F62BFF3">
            <w:pPr>
              <w:spacing w:line="360" w:lineRule="auto"/>
              <w:jc w:val="center"/>
              <w:rPr>
                <w:rFonts w:ascii="宋体" w:hAnsi="宋体" w:cs="宋体"/>
                <w:sz w:val="24"/>
                <w:szCs w:val="24"/>
              </w:rPr>
            </w:pPr>
          </w:p>
        </w:tc>
      </w:tr>
      <w:tr w14:paraId="526B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34" w:type="dxa"/>
            <w:vAlign w:val="center"/>
          </w:tcPr>
          <w:p w14:paraId="137DBDC7">
            <w:pPr>
              <w:spacing w:line="360" w:lineRule="auto"/>
              <w:jc w:val="center"/>
              <w:rPr>
                <w:rFonts w:ascii="宋体" w:hAnsi="宋体" w:cs="宋体"/>
                <w:sz w:val="24"/>
                <w:szCs w:val="24"/>
              </w:rPr>
            </w:pPr>
            <w:r>
              <w:rPr>
                <w:rFonts w:hint="eastAsia" w:ascii="宋体" w:hAnsi="宋体" w:cs="宋体"/>
                <w:sz w:val="24"/>
                <w:szCs w:val="24"/>
              </w:rPr>
              <w:t>2</w:t>
            </w:r>
          </w:p>
        </w:tc>
        <w:tc>
          <w:tcPr>
            <w:tcW w:w="2535" w:type="dxa"/>
            <w:vAlign w:val="center"/>
          </w:tcPr>
          <w:p w14:paraId="6BDFB8D0">
            <w:pPr>
              <w:spacing w:line="360" w:lineRule="auto"/>
              <w:jc w:val="center"/>
              <w:rPr>
                <w:rFonts w:ascii="宋体" w:hAnsi="宋体" w:cs="宋体"/>
                <w:sz w:val="24"/>
                <w:szCs w:val="24"/>
              </w:rPr>
            </w:pPr>
            <w:r>
              <w:rPr>
                <w:rFonts w:hint="eastAsia" w:ascii="宋体" w:hAnsi="宋体" w:cs="宋体"/>
                <w:sz w:val="24"/>
                <w:szCs w:val="24"/>
              </w:rPr>
              <w:t xml:space="preserve">产品质量要求及售后服务要求 </w:t>
            </w:r>
          </w:p>
        </w:tc>
        <w:tc>
          <w:tcPr>
            <w:tcW w:w="2181" w:type="dxa"/>
            <w:vAlign w:val="center"/>
          </w:tcPr>
          <w:p w14:paraId="3BA8413F">
            <w:pPr>
              <w:pStyle w:val="24"/>
              <w:adjustRightInd w:val="0"/>
              <w:snapToGrid w:val="0"/>
              <w:spacing w:beforeLines="50"/>
              <w:jc w:val="center"/>
              <w:rPr>
                <w:rFonts w:hAnsi="宋体" w:cs="宋体"/>
                <w:b/>
                <w:bCs/>
                <w:sz w:val="24"/>
                <w:szCs w:val="24"/>
              </w:rPr>
            </w:pPr>
            <w:r>
              <w:rPr>
                <w:rFonts w:hint="eastAsia" w:hAnsi="宋体" w:cs="宋体"/>
                <w:sz w:val="24"/>
                <w:szCs w:val="24"/>
              </w:rPr>
              <w:t>详见文件</w:t>
            </w:r>
          </w:p>
        </w:tc>
        <w:tc>
          <w:tcPr>
            <w:tcW w:w="1788" w:type="dxa"/>
            <w:vAlign w:val="center"/>
          </w:tcPr>
          <w:p w14:paraId="19C54ADA">
            <w:pPr>
              <w:spacing w:line="360" w:lineRule="auto"/>
              <w:jc w:val="center"/>
              <w:rPr>
                <w:rFonts w:ascii="宋体" w:hAnsi="宋体" w:cs="宋体"/>
                <w:sz w:val="24"/>
                <w:szCs w:val="24"/>
              </w:rPr>
            </w:pPr>
          </w:p>
        </w:tc>
        <w:tc>
          <w:tcPr>
            <w:tcW w:w="1295" w:type="dxa"/>
            <w:vAlign w:val="center"/>
          </w:tcPr>
          <w:p w14:paraId="413F2CE2">
            <w:pPr>
              <w:spacing w:line="360" w:lineRule="auto"/>
              <w:jc w:val="center"/>
              <w:rPr>
                <w:rFonts w:ascii="宋体" w:hAnsi="宋体" w:cs="宋体"/>
                <w:sz w:val="24"/>
                <w:szCs w:val="24"/>
              </w:rPr>
            </w:pPr>
          </w:p>
        </w:tc>
        <w:tc>
          <w:tcPr>
            <w:tcW w:w="1360" w:type="dxa"/>
            <w:vAlign w:val="center"/>
          </w:tcPr>
          <w:p w14:paraId="1D532356">
            <w:pPr>
              <w:spacing w:line="360" w:lineRule="auto"/>
              <w:jc w:val="center"/>
              <w:rPr>
                <w:rFonts w:ascii="宋体" w:hAnsi="宋体" w:cs="宋体"/>
                <w:sz w:val="24"/>
                <w:szCs w:val="24"/>
              </w:rPr>
            </w:pPr>
          </w:p>
        </w:tc>
      </w:tr>
      <w:tr w14:paraId="5F5D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544A7B64">
            <w:pPr>
              <w:spacing w:line="360" w:lineRule="auto"/>
              <w:jc w:val="center"/>
              <w:rPr>
                <w:rFonts w:ascii="宋体" w:hAnsi="宋体" w:cs="宋体"/>
                <w:sz w:val="24"/>
                <w:szCs w:val="24"/>
              </w:rPr>
            </w:pPr>
            <w:r>
              <w:rPr>
                <w:rFonts w:hint="eastAsia" w:ascii="宋体" w:hAnsi="宋体" w:cs="宋体"/>
                <w:sz w:val="24"/>
                <w:szCs w:val="24"/>
              </w:rPr>
              <w:t>3</w:t>
            </w:r>
          </w:p>
        </w:tc>
        <w:tc>
          <w:tcPr>
            <w:tcW w:w="2535" w:type="dxa"/>
            <w:vAlign w:val="center"/>
          </w:tcPr>
          <w:p w14:paraId="4DE007C5">
            <w:pPr>
              <w:spacing w:line="360" w:lineRule="auto"/>
              <w:jc w:val="center"/>
              <w:rPr>
                <w:rFonts w:ascii="宋体" w:hAnsi="宋体" w:cs="宋体"/>
                <w:sz w:val="24"/>
                <w:szCs w:val="24"/>
              </w:rPr>
            </w:pPr>
            <w:r>
              <w:rPr>
                <w:rFonts w:hint="eastAsia" w:ascii="宋体" w:hAnsi="宋体" w:cs="宋体"/>
                <w:color w:val="000000"/>
                <w:kern w:val="0"/>
                <w:sz w:val="24"/>
              </w:rPr>
              <w:t>验收及付款条件</w:t>
            </w:r>
          </w:p>
        </w:tc>
        <w:tc>
          <w:tcPr>
            <w:tcW w:w="2181" w:type="dxa"/>
            <w:vAlign w:val="center"/>
          </w:tcPr>
          <w:p w14:paraId="18C3674D">
            <w:pPr>
              <w:pStyle w:val="24"/>
              <w:adjustRightInd w:val="0"/>
              <w:snapToGrid w:val="0"/>
              <w:spacing w:beforeLines="50"/>
              <w:jc w:val="center"/>
              <w:rPr>
                <w:rFonts w:hAnsi="宋体" w:cs="宋体"/>
                <w:b/>
                <w:bCs/>
                <w:sz w:val="24"/>
                <w:szCs w:val="24"/>
              </w:rPr>
            </w:pPr>
            <w:r>
              <w:rPr>
                <w:rFonts w:hint="eastAsia" w:hAnsi="宋体" w:cs="宋体"/>
                <w:sz w:val="24"/>
                <w:szCs w:val="24"/>
              </w:rPr>
              <w:t>详见文件</w:t>
            </w:r>
          </w:p>
        </w:tc>
        <w:tc>
          <w:tcPr>
            <w:tcW w:w="1788" w:type="dxa"/>
            <w:vAlign w:val="center"/>
          </w:tcPr>
          <w:p w14:paraId="601F3C87">
            <w:pPr>
              <w:spacing w:line="360" w:lineRule="auto"/>
              <w:jc w:val="center"/>
              <w:rPr>
                <w:rFonts w:ascii="宋体" w:hAnsi="宋体" w:cs="宋体"/>
                <w:sz w:val="24"/>
                <w:szCs w:val="24"/>
              </w:rPr>
            </w:pPr>
          </w:p>
        </w:tc>
        <w:tc>
          <w:tcPr>
            <w:tcW w:w="1295" w:type="dxa"/>
            <w:vAlign w:val="center"/>
          </w:tcPr>
          <w:p w14:paraId="46CD0151">
            <w:pPr>
              <w:spacing w:line="360" w:lineRule="auto"/>
              <w:jc w:val="center"/>
              <w:rPr>
                <w:rFonts w:ascii="宋体" w:hAnsi="宋体" w:cs="宋体"/>
                <w:sz w:val="24"/>
                <w:szCs w:val="24"/>
              </w:rPr>
            </w:pPr>
          </w:p>
        </w:tc>
        <w:tc>
          <w:tcPr>
            <w:tcW w:w="1360" w:type="dxa"/>
            <w:vAlign w:val="center"/>
          </w:tcPr>
          <w:p w14:paraId="23023883">
            <w:pPr>
              <w:spacing w:line="360" w:lineRule="auto"/>
              <w:jc w:val="center"/>
              <w:rPr>
                <w:rFonts w:ascii="宋体" w:hAnsi="宋体" w:cs="宋体"/>
                <w:sz w:val="24"/>
                <w:szCs w:val="24"/>
              </w:rPr>
            </w:pPr>
          </w:p>
        </w:tc>
      </w:tr>
      <w:tr w14:paraId="4ACB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0D18EA1B">
            <w:pPr>
              <w:spacing w:line="360" w:lineRule="auto"/>
              <w:jc w:val="center"/>
              <w:rPr>
                <w:rFonts w:ascii="宋体" w:hAnsi="宋体" w:cs="宋体"/>
                <w:sz w:val="24"/>
                <w:szCs w:val="24"/>
              </w:rPr>
            </w:pPr>
            <w:r>
              <w:rPr>
                <w:rFonts w:hint="eastAsia" w:ascii="宋体" w:hAnsi="宋体" w:cs="宋体"/>
                <w:sz w:val="24"/>
                <w:szCs w:val="24"/>
              </w:rPr>
              <w:t>4</w:t>
            </w:r>
          </w:p>
        </w:tc>
        <w:tc>
          <w:tcPr>
            <w:tcW w:w="2535" w:type="dxa"/>
            <w:vAlign w:val="center"/>
          </w:tcPr>
          <w:p w14:paraId="6A2A07C2">
            <w:pPr>
              <w:spacing w:line="360" w:lineRule="auto"/>
              <w:jc w:val="center"/>
              <w:rPr>
                <w:rFonts w:ascii="宋体" w:hAnsi="宋体" w:cs="宋体"/>
                <w:sz w:val="24"/>
                <w:szCs w:val="24"/>
              </w:rPr>
            </w:pPr>
            <w:r>
              <w:rPr>
                <w:rFonts w:hint="eastAsia" w:ascii="宋体" w:hAnsi="宋体" w:cs="宋体"/>
                <w:sz w:val="24"/>
                <w:szCs w:val="24"/>
              </w:rPr>
              <w:t>备注</w:t>
            </w:r>
          </w:p>
        </w:tc>
        <w:tc>
          <w:tcPr>
            <w:tcW w:w="2181" w:type="dxa"/>
            <w:vAlign w:val="center"/>
          </w:tcPr>
          <w:p w14:paraId="2D7E201E">
            <w:pPr>
              <w:spacing w:line="360" w:lineRule="auto"/>
              <w:jc w:val="center"/>
              <w:rPr>
                <w:rFonts w:ascii="宋体" w:hAnsi="宋体" w:cs="宋体"/>
                <w:sz w:val="24"/>
                <w:szCs w:val="24"/>
              </w:rPr>
            </w:pPr>
          </w:p>
        </w:tc>
        <w:tc>
          <w:tcPr>
            <w:tcW w:w="1788" w:type="dxa"/>
            <w:vAlign w:val="center"/>
          </w:tcPr>
          <w:p w14:paraId="0F6828BB">
            <w:pPr>
              <w:spacing w:line="360" w:lineRule="auto"/>
              <w:jc w:val="center"/>
              <w:rPr>
                <w:rFonts w:ascii="宋体" w:hAnsi="宋体" w:cs="宋体"/>
                <w:sz w:val="24"/>
                <w:szCs w:val="24"/>
              </w:rPr>
            </w:pPr>
          </w:p>
        </w:tc>
        <w:tc>
          <w:tcPr>
            <w:tcW w:w="1295" w:type="dxa"/>
            <w:vAlign w:val="center"/>
          </w:tcPr>
          <w:p w14:paraId="097F2C60">
            <w:pPr>
              <w:spacing w:line="360" w:lineRule="auto"/>
              <w:jc w:val="center"/>
              <w:rPr>
                <w:rFonts w:ascii="宋体" w:hAnsi="宋体" w:cs="宋体"/>
                <w:sz w:val="24"/>
                <w:szCs w:val="24"/>
              </w:rPr>
            </w:pPr>
          </w:p>
        </w:tc>
        <w:tc>
          <w:tcPr>
            <w:tcW w:w="1360" w:type="dxa"/>
            <w:vAlign w:val="center"/>
          </w:tcPr>
          <w:p w14:paraId="349AB43D">
            <w:pPr>
              <w:spacing w:line="360" w:lineRule="auto"/>
              <w:jc w:val="center"/>
              <w:rPr>
                <w:rFonts w:ascii="宋体" w:hAnsi="宋体" w:cs="宋体"/>
                <w:sz w:val="24"/>
                <w:szCs w:val="24"/>
              </w:rPr>
            </w:pPr>
          </w:p>
        </w:tc>
      </w:tr>
      <w:tr w14:paraId="779D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23503AA0">
            <w:pPr>
              <w:spacing w:line="360" w:lineRule="auto"/>
              <w:jc w:val="center"/>
              <w:rPr>
                <w:rFonts w:ascii="宋体" w:hAnsi="宋体" w:cs="宋体"/>
                <w:sz w:val="24"/>
                <w:szCs w:val="24"/>
              </w:rPr>
            </w:pPr>
          </w:p>
        </w:tc>
        <w:tc>
          <w:tcPr>
            <w:tcW w:w="2535" w:type="dxa"/>
            <w:vAlign w:val="center"/>
          </w:tcPr>
          <w:p w14:paraId="669F7A7E">
            <w:pPr>
              <w:spacing w:line="360" w:lineRule="auto"/>
              <w:jc w:val="center"/>
              <w:rPr>
                <w:rFonts w:ascii="宋体" w:hAnsi="宋体" w:cs="宋体"/>
                <w:sz w:val="24"/>
                <w:szCs w:val="24"/>
              </w:rPr>
            </w:pPr>
          </w:p>
        </w:tc>
        <w:tc>
          <w:tcPr>
            <w:tcW w:w="2181" w:type="dxa"/>
            <w:vAlign w:val="center"/>
          </w:tcPr>
          <w:p w14:paraId="7B2489CC">
            <w:pPr>
              <w:spacing w:line="360" w:lineRule="auto"/>
              <w:jc w:val="center"/>
              <w:rPr>
                <w:rFonts w:ascii="宋体" w:hAnsi="宋体" w:cs="宋体"/>
                <w:sz w:val="24"/>
                <w:szCs w:val="24"/>
              </w:rPr>
            </w:pPr>
          </w:p>
        </w:tc>
        <w:tc>
          <w:tcPr>
            <w:tcW w:w="1788" w:type="dxa"/>
            <w:vAlign w:val="center"/>
          </w:tcPr>
          <w:p w14:paraId="3DE37816">
            <w:pPr>
              <w:spacing w:line="360" w:lineRule="auto"/>
              <w:jc w:val="center"/>
              <w:rPr>
                <w:rFonts w:ascii="宋体" w:hAnsi="宋体" w:cs="宋体"/>
                <w:sz w:val="24"/>
                <w:szCs w:val="24"/>
              </w:rPr>
            </w:pPr>
          </w:p>
        </w:tc>
        <w:tc>
          <w:tcPr>
            <w:tcW w:w="1295" w:type="dxa"/>
            <w:vAlign w:val="center"/>
          </w:tcPr>
          <w:p w14:paraId="4DA1C143">
            <w:pPr>
              <w:spacing w:line="360" w:lineRule="auto"/>
              <w:jc w:val="center"/>
              <w:rPr>
                <w:rFonts w:ascii="宋体" w:hAnsi="宋体" w:cs="宋体"/>
                <w:sz w:val="24"/>
                <w:szCs w:val="24"/>
              </w:rPr>
            </w:pPr>
          </w:p>
        </w:tc>
        <w:tc>
          <w:tcPr>
            <w:tcW w:w="1360" w:type="dxa"/>
            <w:vAlign w:val="center"/>
          </w:tcPr>
          <w:p w14:paraId="3AF90396">
            <w:pPr>
              <w:spacing w:line="360" w:lineRule="auto"/>
              <w:jc w:val="center"/>
              <w:rPr>
                <w:rFonts w:ascii="宋体" w:hAnsi="宋体" w:cs="宋体"/>
                <w:sz w:val="24"/>
                <w:szCs w:val="24"/>
              </w:rPr>
            </w:pPr>
          </w:p>
        </w:tc>
      </w:tr>
      <w:tr w14:paraId="2092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680B8A49">
            <w:pPr>
              <w:spacing w:line="360" w:lineRule="auto"/>
              <w:jc w:val="center"/>
              <w:rPr>
                <w:rFonts w:ascii="宋体" w:hAnsi="宋体" w:cs="宋体"/>
                <w:sz w:val="24"/>
                <w:szCs w:val="24"/>
              </w:rPr>
            </w:pPr>
          </w:p>
        </w:tc>
        <w:tc>
          <w:tcPr>
            <w:tcW w:w="2535" w:type="dxa"/>
            <w:vAlign w:val="center"/>
          </w:tcPr>
          <w:p w14:paraId="74D98F8C">
            <w:pPr>
              <w:spacing w:line="360" w:lineRule="auto"/>
              <w:jc w:val="center"/>
              <w:rPr>
                <w:rFonts w:ascii="宋体" w:hAnsi="宋体" w:cs="宋体"/>
                <w:sz w:val="24"/>
                <w:szCs w:val="24"/>
              </w:rPr>
            </w:pPr>
          </w:p>
        </w:tc>
        <w:tc>
          <w:tcPr>
            <w:tcW w:w="2181" w:type="dxa"/>
            <w:vAlign w:val="center"/>
          </w:tcPr>
          <w:p w14:paraId="6602298D">
            <w:pPr>
              <w:spacing w:line="360" w:lineRule="auto"/>
              <w:jc w:val="center"/>
              <w:rPr>
                <w:rFonts w:ascii="宋体" w:hAnsi="宋体" w:cs="宋体"/>
                <w:sz w:val="24"/>
                <w:szCs w:val="24"/>
              </w:rPr>
            </w:pPr>
          </w:p>
        </w:tc>
        <w:tc>
          <w:tcPr>
            <w:tcW w:w="1788" w:type="dxa"/>
            <w:vAlign w:val="center"/>
          </w:tcPr>
          <w:p w14:paraId="2A387E23">
            <w:pPr>
              <w:spacing w:line="360" w:lineRule="auto"/>
              <w:jc w:val="center"/>
              <w:rPr>
                <w:rFonts w:ascii="宋体" w:hAnsi="宋体" w:cs="宋体"/>
                <w:sz w:val="24"/>
                <w:szCs w:val="24"/>
              </w:rPr>
            </w:pPr>
          </w:p>
        </w:tc>
        <w:tc>
          <w:tcPr>
            <w:tcW w:w="1295" w:type="dxa"/>
            <w:vAlign w:val="center"/>
          </w:tcPr>
          <w:p w14:paraId="2888E47A">
            <w:pPr>
              <w:spacing w:line="360" w:lineRule="auto"/>
              <w:jc w:val="center"/>
              <w:rPr>
                <w:rFonts w:ascii="宋体" w:hAnsi="宋体" w:cs="宋体"/>
                <w:sz w:val="24"/>
                <w:szCs w:val="24"/>
              </w:rPr>
            </w:pPr>
          </w:p>
        </w:tc>
        <w:tc>
          <w:tcPr>
            <w:tcW w:w="1360" w:type="dxa"/>
            <w:vAlign w:val="center"/>
          </w:tcPr>
          <w:p w14:paraId="547D9A9D">
            <w:pPr>
              <w:spacing w:line="360" w:lineRule="auto"/>
              <w:jc w:val="center"/>
              <w:rPr>
                <w:rFonts w:ascii="宋体" w:hAnsi="宋体" w:cs="宋体"/>
                <w:sz w:val="24"/>
                <w:szCs w:val="24"/>
              </w:rPr>
            </w:pPr>
          </w:p>
        </w:tc>
      </w:tr>
    </w:tbl>
    <w:p w14:paraId="5CC199D0">
      <w:pPr>
        <w:spacing w:line="560" w:lineRule="exact"/>
        <w:ind w:right="-219"/>
        <w:rPr>
          <w:rFonts w:ascii="宋体" w:hAnsi="宋体" w:cs="宋体"/>
          <w:bCs/>
          <w:sz w:val="24"/>
          <w:szCs w:val="24"/>
        </w:rPr>
      </w:pPr>
      <w:r>
        <w:rPr>
          <w:rFonts w:hint="eastAsia" w:ascii="宋体" w:hAnsi="宋体" w:cs="宋体"/>
          <w:b/>
          <w:sz w:val="24"/>
          <w:szCs w:val="24"/>
        </w:rPr>
        <w:t>说明：</w:t>
      </w:r>
      <w:r>
        <w:rPr>
          <w:rFonts w:hint="eastAsia" w:ascii="宋体" w:hAnsi="宋体" w:cs="宋体"/>
          <w:bCs/>
          <w:sz w:val="24"/>
          <w:szCs w:val="24"/>
        </w:rPr>
        <w:t>1、如投标人的商务要求与采购文件的要求不一致，则投标人必须填写在本表内。</w:t>
      </w:r>
    </w:p>
    <w:p w14:paraId="3642E723">
      <w:pPr>
        <w:spacing w:line="560" w:lineRule="exact"/>
        <w:ind w:right="420" w:firstLine="240" w:firstLineChars="100"/>
        <w:rPr>
          <w:rFonts w:ascii="宋体" w:hAnsi="宋体" w:cs="宋体"/>
          <w:bCs/>
          <w:sz w:val="24"/>
          <w:szCs w:val="24"/>
        </w:rPr>
      </w:pPr>
      <w:r>
        <w:rPr>
          <w:rFonts w:hint="eastAsia" w:ascii="宋体" w:hAnsi="宋体" w:cs="宋体"/>
          <w:bCs/>
          <w:sz w:val="24"/>
          <w:szCs w:val="24"/>
        </w:rPr>
        <w:t xml:space="preserve">    2、未列入本表的条款，采购方认为完全响应采购文件的要求。</w:t>
      </w:r>
    </w:p>
    <w:p w14:paraId="77F2CD09">
      <w:pPr>
        <w:spacing w:line="560" w:lineRule="exact"/>
        <w:ind w:right="420" w:firstLine="240" w:firstLineChars="100"/>
        <w:rPr>
          <w:rFonts w:ascii="宋体" w:hAnsi="宋体" w:cs="宋体"/>
          <w:bCs/>
          <w:sz w:val="24"/>
          <w:szCs w:val="24"/>
        </w:rPr>
      </w:pPr>
      <w:r>
        <w:rPr>
          <w:rFonts w:hint="eastAsia" w:ascii="宋体" w:hAnsi="宋体" w:cs="宋体"/>
          <w:bCs/>
          <w:sz w:val="24"/>
          <w:szCs w:val="24"/>
        </w:rPr>
        <w:t xml:space="preserve">    3、对照项目要求逐项写明各项偏离情况。偏离情况应填写为“无偏离”“正偏离”，本项目不接受“负偏离”。如有正偏离的请在情况表中详细写明，如有需要说明的其他事项可在备注栏中写明。</w:t>
      </w:r>
    </w:p>
    <w:p w14:paraId="075003D6">
      <w:pPr>
        <w:pStyle w:val="6"/>
        <w:spacing w:line="360" w:lineRule="auto"/>
        <w:ind w:firstLine="500" w:firstLineChars="200"/>
        <w:rPr>
          <w:rFonts w:ascii="宋体" w:hAnsi="宋体" w:cs="宋体"/>
        </w:rPr>
      </w:pPr>
      <w:r>
        <w:rPr>
          <w:rFonts w:hint="eastAsia" w:ascii="宋体" w:hAnsi="宋体" w:cs="宋体"/>
          <w:sz w:val="25"/>
          <w:szCs w:val="20"/>
        </w:rPr>
        <w:t xml:space="preserve">投标单位全称(加盖公章)： </w:t>
      </w:r>
    </w:p>
    <w:p w14:paraId="0C900344">
      <w:pPr>
        <w:pStyle w:val="6"/>
        <w:spacing w:line="360" w:lineRule="auto"/>
        <w:ind w:firstLine="500" w:firstLineChars="200"/>
        <w:rPr>
          <w:rFonts w:ascii="宋体" w:hAnsi="宋体" w:cs="宋体"/>
        </w:rPr>
      </w:pPr>
      <w:r>
        <w:rPr>
          <w:rFonts w:hint="eastAsia" w:ascii="宋体" w:hAnsi="宋体" w:cs="宋体"/>
          <w:sz w:val="25"/>
          <w:szCs w:val="20"/>
        </w:rPr>
        <w:t xml:space="preserve">法定代表人 (签字或盖章)： </w:t>
      </w:r>
    </w:p>
    <w:p w14:paraId="5FF3F3AA">
      <w:pPr>
        <w:spacing w:line="440" w:lineRule="exact"/>
        <w:rPr>
          <w:rFonts w:ascii="宋体" w:hAnsi="宋体" w:cs="宋体"/>
          <w:sz w:val="25"/>
        </w:rPr>
      </w:pPr>
      <w:r>
        <w:rPr>
          <w:rFonts w:hint="eastAsia" w:ascii="宋体" w:hAnsi="宋体" w:cs="宋体"/>
          <w:sz w:val="25"/>
        </w:rPr>
        <w:t xml:space="preserve">    日期：年月日</w:t>
      </w:r>
    </w:p>
    <w:p w14:paraId="535F5EEE">
      <w:pPr>
        <w:spacing w:line="360" w:lineRule="auto"/>
        <w:ind w:left="720"/>
        <w:rPr>
          <w:rFonts w:ascii="宋体" w:hAnsi="宋体" w:cs="宋体"/>
          <w:sz w:val="24"/>
          <w:szCs w:val="24"/>
        </w:rPr>
      </w:pPr>
    </w:p>
    <w:p w14:paraId="69ABEA10">
      <w:pPr>
        <w:spacing w:line="360" w:lineRule="auto"/>
        <w:ind w:left="720"/>
        <w:rPr>
          <w:rFonts w:ascii="宋体" w:hAnsi="宋体" w:cs="宋体"/>
          <w:sz w:val="24"/>
          <w:szCs w:val="24"/>
        </w:rPr>
      </w:pPr>
    </w:p>
    <w:p w14:paraId="7CFA0533">
      <w:pPr>
        <w:rPr>
          <w:rFonts w:ascii="宋体" w:hAnsi="宋体" w:cs="宋体"/>
          <w:b/>
        </w:rPr>
      </w:pPr>
      <w:r>
        <w:rPr>
          <w:rFonts w:hint="eastAsia" w:ascii="宋体" w:hAnsi="宋体" w:cs="宋体"/>
          <w:b/>
          <w:sz w:val="28"/>
          <w:szCs w:val="28"/>
        </w:rPr>
        <w:br w:type="page"/>
      </w:r>
      <w:r>
        <w:rPr>
          <w:rFonts w:hint="eastAsia" w:ascii="宋体" w:hAnsi="宋体" w:cs="宋体"/>
          <w:b/>
          <w:sz w:val="28"/>
          <w:szCs w:val="28"/>
        </w:rPr>
        <w:t>附件九：</w:t>
      </w:r>
    </w:p>
    <w:p w14:paraId="00887780">
      <w:pPr>
        <w:spacing w:line="360" w:lineRule="auto"/>
        <w:jc w:val="center"/>
        <w:rPr>
          <w:rFonts w:ascii="宋体" w:hAnsi="宋体" w:cs="宋体"/>
          <w:b/>
          <w:sz w:val="30"/>
          <w:szCs w:val="30"/>
        </w:rPr>
      </w:pPr>
      <w:r>
        <w:rPr>
          <w:rFonts w:hint="eastAsia" w:ascii="宋体" w:hAnsi="宋体" w:cs="宋体"/>
          <w:b/>
          <w:sz w:val="30"/>
          <w:szCs w:val="30"/>
        </w:rPr>
        <w:t xml:space="preserve">技术偏离表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657"/>
        <w:gridCol w:w="3165"/>
        <w:gridCol w:w="2514"/>
        <w:gridCol w:w="1782"/>
      </w:tblGrid>
      <w:tr w14:paraId="3545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4" w:type="dxa"/>
            <w:vAlign w:val="center"/>
          </w:tcPr>
          <w:p w14:paraId="4D471671">
            <w:pPr>
              <w:jc w:val="center"/>
              <w:rPr>
                <w:rFonts w:ascii="宋体" w:hAnsi="宋体" w:cs="宋体"/>
                <w:sz w:val="24"/>
                <w:szCs w:val="24"/>
              </w:rPr>
            </w:pPr>
            <w:r>
              <w:rPr>
                <w:rFonts w:hint="eastAsia" w:ascii="宋体" w:hAnsi="宋体" w:cs="宋体"/>
                <w:sz w:val="24"/>
                <w:szCs w:val="24"/>
              </w:rPr>
              <w:t>序号</w:t>
            </w:r>
          </w:p>
        </w:tc>
        <w:tc>
          <w:tcPr>
            <w:tcW w:w="1657" w:type="dxa"/>
            <w:vAlign w:val="center"/>
          </w:tcPr>
          <w:p w14:paraId="243746FC">
            <w:pPr>
              <w:jc w:val="center"/>
              <w:rPr>
                <w:rFonts w:ascii="宋体" w:hAnsi="宋体" w:cs="宋体"/>
                <w:sz w:val="24"/>
                <w:szCs w:val="24"/>
              </w:rPr>
            </w:pPr>
            <w:r>
              <w:rPr>
                <w:rFonts w:hint="eastAsia" w:ascii="宋体" w:hAnsi="宋体" w:cs="宋体"/>
                <w:sz w:val="24"/>
                <w:szCs w:val="24"/>
              </w:rPr>
              <w:t>产品名称</w:t>
            </w:r>
          </w:p>
        </w:tc>
        <w:tc>
          <w:tcPr>
            <w:tcW w:w="3165" w:type="dxa"/>
            <w:vAlign w:val="center"/>
          </w:tcPr>
          <w:p w14:paraId="3B5CEBCD">
            <w:pPr>
              <w:jc w:val="center"/>
              <w:rPr>
                <w:rFonts w:ascii="宋体" w:hAnsi="宋体" w:cs="宋体"/>
                <w:sz w:val="24"/>
                <w:szCs w:val="24"/>
              </w:rPr>
            </w:pPr>
            <w:r>
              <w:rPr>
                <w:rFonts w:hint="eastAsia" w:ascii="宋体" w:hAnsi="宋体" w:cs="宋体"/>
                <w:sz w:val="24"/>
                <w:szCs w:val="24"/>
              </w:rPr>
              <w:t>采购文件参数要求</w:t>
            </w:r>
          </w:p>
        </w:tc>
        <w:tc>
          <w:tcPr>
            <w:tcW w:w="2514" w:type="dxa"/>
            <w:vAlign w:val="center"/>
          </w:tcPr>
          <w:p w14:paraId="7C4FBC38">
            <w:pPr>
              <w:jc w:val="center"/>
              <w:rPr>
                <w:rFonts w:ascii="宋体" w:hAnsi="宋体" w:cs="宋体"/>
                <w:sz w:val="24"/>
                <w:szCs w:val="24"/>
              </w:rPr>
            </w:pPr>
            <w:r>
              <w:rPr>
                <w:rFonts w:hint="eastAsia" w:ascii="宋体" w:hAnsi="宋体" w:cs="宋体"/>
                <w:sz w:val="24"/>
                <w:szCs w:val="24"/>
              </w:rPr>
              <w:t>投标产品参数响应情况</w:t>
            </w:r>
          </w:p>
        </w:tc>
        <w:tc>
          <w:tcPr>
            <w:tcW w:w="1782" w:type="dxa"/>
            <w:vAlign w:val="center"/>
          </w:tcPr>
          <w:p w14:paraId="09F97298">
            <w:pPr>
              <w:jc w:val="center"/>
              <w:rPr>
                <w:rFonts w:ascii="宋体" w:hAnsi="宋体" w:cs="宋体"/>
                <w:b/>
                <w:sz w:val="24"/>
                <w:szCs w:val="24"/>
              </w:rPr>
            </w:pPr>
            <w:r>
              <w:rPr>
                <w:rFonts w:hint="eastAsia" w:ascii="宋体" w:hAnsi="宋体" w:cs="宋体"/>
                <w:sz w:val="24"/>
                <w:szCs w:val="24"/>
              </w:rPr>
              <w:t>偏离情况</w:t>
            </w:r>
          </w:p>
        </w:tc>
      </w:tr>
      <w:tr w14:paraId="6DAD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vAlign w:val="center"/>
          </w:tcPr>
          <w:p w14:paraId="329A5E0C">
            <w:pPr>
              <w:jc w:val="center"/>
              <w:rPr>
                <w:rFonts w:ascii="宋体" w:hAnsi="宋体" w:cs="宋体"/>
                <w:sz w:val="24"/>
                <w:szCs w:val="24"/>
              </w:rPr>
            </w:pPr>
            <w:r>
              <w:rPr>
                <w:rFonts w:hint="eastAsia" w:ascii="宋体" w:hAnsi="宋体" w:cs="宋体"/>
                <w:sz w:val="24"/>
                <w:szCs w:val="24"/>
              </w:rPr>
              <w:t>1</w:t>
            </w:r>
          </w:p>
        </w:tc>
        <w:tc>
          <w:tcPr>
            <w:tcW w:w="1657" w:type="dxa"/>
            <w:vAlign w:val="center"/>
          </w:tcPr>
          <w:p w14:paraId="1253F439">
            <w:pPr>
              <w:rPr>
                <w:rFonts w:ascii="宋体" w:hAnsi="宋体" w:cs="宋体"/>
                <w:sz w:val="24"/>
                <w:szCs w:val="24"/>
              </w:rPr>
            </w:pPr>
          </w:p>
        </w:tc>
        <w:tc>
          <w:tcPr>
            <w:tcW w:w="3165" w:type="dxa"/>
            <w:vAlign w:val="center"/>
          </w:tcPr>
          <w:p w14:paraId="4A8BEE37">
            <w:pPr>
              <w:rPr>
                <w:rFonts w:ascii="宋体" w:hAnsi="宋体" w:cs="宋体"/>
                <w:sz w:val="24"/>
                <w:szCs w:val="24"/>
              </w:rPr>
            </w:pPr>
          </w:p>
        </w:tc>
        <w:tc>
          <w:tcPr>
            <w:tcW w:w="2514" w:type="dxa"/>
            <w:vAlign w:val="center"/>
          </w:tcPr>
          <w:p w14:paraId="12B26D94">
            <w:pPr>
              <w:jc w:val="center"/>
              <w:rPr>
                <w:rFonts w:ascii="宋体" w:hAnsi="宋体" w:cs="宋体"/>
                <w:b/>
                <w:sz w:val="24"/>
                <w:szCs w:val="24"/>
              </w:rPr>
            </w:pPr>
          </w:p>
        </w:tc>
        <w:tc>
          <w:tcPr>
            <w:tcW w:w="1782" w:type="dxa"/>
            <w:vAlign w:val="center"/>
          </w:tcPr>
          <w:p w14:paraId="49A6693F">
            <w:pPr>
              <w:jc w:val="center"/>
              <w:rPr>
                <w:rFonts w:ascii="宋体" w:hAnsi="宋体" w:cs="宋体"/>
                <w:b/>
                <w:sz w:val="24"/>
                <w:szCs w:val="24"/>
              </w:rPr>
            </w:pPr>
          </w:p>
        </w:tc>
      </w:tr>
      <w:tr w14:paraId="7CAA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60FB44F9">
            <w:pPr>
              <w:jc w:val="center"/>
              <w:rPr>
                <w:rFonts w:ascii="宋体" w:hAnsi="宋体" w:cs="宋体"/>
                <w:sz w:val="24"/>
                <w:szCs w:val="24"/>
              </w:rPr>
            </w:pPr>
            <w:r>
              <w:rPr>
                <w:rFonts w:hint="eastAsia" w:ascii="宋体" w:hAnsi="宋体" w:cs="宋体"/>
                <w:sz w:val="24"/>
                <w:szCs w:val="24"/>
              </w:rPr>
              <w:t>2</w:t>
            </w:r>
          </w:p>
        </w:tc>
        <w:tc>
          <w:tcPr>
            <w:tcW w:w="1657" w:type="dxa"/>
            <w:shd w:val="clear" w:color="auto" w:fill="FFFFFF"/>
            <w:vAlign w:val="center"/>
          </w:tcPr>
          <w:p w14:paraId="258DE889">
            <w:pPr>
              <w:widowControl/>
              <w:spacing w:line="0" w:lineRule="atLeast"/>
              <w:rPr>
                <w:rFonts w:ascii="宋体" w:hAnsi="宋体" w:cs="宋体"/>
                <w:kern w:val="0"/>
                <w:sz w:val="24"/>
                <w:szCs w:val="24"/>
              </w:rPr>
            </w:pPr>
          </w:p>
        </w:tc>
        <w:tc>
          <w:tcPr>
            <w:tcW w:w="3165" w:type="dxa"/>
            <w:shd w:val="clear" w:color="auto" w:fill="FFFFFF"/>
            <w:vAlign w:val="center"/>
          </w:tcPr>
          <w:p w14:paraId="5F4FC1D2">
            <w:pPr>
              <w:widowControl/>
              <w:spacing w:line="0" w:lineRule="atLeast"/>
              <w:rPr>
                <w:rFonts w:ascii="宋体" w:hAnsi="宋体" w:cs="宋体"/>
                <w:kern w:val="0"/>
                <w:sz w:val="24"/>
                <w:szCs w:val="24"/>
              </w:rPr>
            </w:pPr>
          </w:p>
        </w:tc>
        <w:tc>
          <w:tcPr>
            <w:tcW w:w="2514" w:type="dxa"/>
            <w:shd w:val="clear" w:color="auto" w:fill="FFFFFF"/>
            <w:vAlign w:val="center"/>
          </w:tcPr>
          <w:p w14:paraId="653818EF">
            <w:pPr>
              <w:rPr>
                <w:rFonts w:ascii="宋体" w:hAnsi="宋体" w:cs="宋体"/>
                <w:b/>
                <w:sz w:val="24"/>
                <w:szCs w:val="24"/>
              </w:rPr>
            </w:pPr>
          </w:p>
        </w:tc>
        <w:tc>
          <w:tcPr>
            <w:tcW w:w="1782" w:type="dxa"/>
            <w:shd w:val="clear" w:color="auto" w:fill="FFFFFF"/>
            <w:vAlign w:val="center"/>
          </w:tcPr>
          <w:p w14:paraId="557E4704">
            <w:pPr>
              <w:rPr>
                <w:rFonts w:ascii="宋体" w:hAnsi="宋体" w:cs="宋体"/>
                <w:b/>
                <w:sz w:val="24"/>
                <w:szCs w:val="24"/>
              </w:rPr>
            </w:pPr>
          </w:p>
        </w:tc>
      </w:tr>
      <w:tr w14:paraId="11D5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14F085DD">
            <w:pPr>
              <w:jc w:val="center"/>
              <w:rPr>
                <w:rFonts w:ascii="宋体" w:hAnsi="宋体" w:cs="宋体"/>
                <w:sz w:val="24"/>
                <w:szCs w:val="24"/>
              </w:rPr>
            </w:pPr>
            <w:r>
              <w:rPr>
                <w:rFonts w:hint="eastAsia" w:ascii="宋体" w:hAnsi="宋体" w:cs="宋体"/>
                <w:sz w:val="24"/>
                <w:szCs w:val="24"/>
              </w:rPr>
              <w:t>3</w:t>
            </w:r>
          </w:p>
        </w:tc>
        <w:tc>
          <w:tcPr>
            <w:tcW w:w="1657" w:type="dxa"/>
            <w:shd w:val="clear" w:color="auto" w:fill="FFFFFF"/>
            <w:vAlign w:val="center"/>
          </w:tcPr>
          <w:p w14:paraId="1AAEA718">
            <w:pPr>
              <w:widowControl/>
              <w:spacing w:line="0" w:lineRule="atLeast"/>
              <w:rPr>
                <w:rFonts w:ascii="宋体" w:hAnsi="宋体" w:cs="宋体"/>
                <w:kern w:val="0"/>
                <w:sz w:val="24"/>
                <w:szCs w:val="24"/>
              </w:rPr>
            </w:pPr>
          </w:p>
        </w:tc>
        <w:tc>
          <w:tcPr>
            <w:tcW w:w="3165" w:type="dxa"/>
            <w:shd w:val="clear" w:color="auto" w:fill="FFFFFF"/>
            <w:vAlign w:val="center"/>
          </w:tcPr>
          <w:p w14:paraId="4B953F8E">
            <w:pPr>
              <w:widowControl/>
              <w:spacing w:line="0" w:lineRule="atLeast"/>
              <w:rPr>
                <w:rFonts w:ascii="宋体" w:hAnsi="宋体" w:cs="宋体"/>
                <w:kern w:val="0"/>
                <w:sz w:val="24"/>
                <w:szCs w:val="24"/>
              </w:rPr>
            </w:pPr>
          </w:p>
        </w:tc>
        <w:tc>
          <w:tcPr>
            <w:tcW w:w="2514" w:type="dxa"/>
            <w:shd w:val="clear" w:color="auto" w:fill="FFFFFF"/>
            <w:vAlign w:val="center"/>
          </w:tcPr>
          <w:p w14:paraId="590FCFA0">
            <w:pPr>
              <w:jc w:val="center"/>
              <w:rPr>
                <w:rFonts w:ascii="宋体" w:hAnsi="宋体" w:cs="宋体"/>
                <w:b/>
                <w:sz w:val="24"/>
                <w:szCs w:val="24"/>
              </w:rPr>
            </w:pPr>
          </w:p>
        </w:tc>
        <w:tc>
          <w:tcPr>
            <w:tcW w:w="1782" w:type="dxa"/>
            <w:shd w:val="clear" w:color="auto" w:fill="FFFFFF"/>
            <w:vAlign w:val="center"/>
          </w:tcPr>
          <w:p w14:paraId="1B67AE2C">
            <w:pPr>
              <w:jc w:val="center"/>
              <w:rPr>
                <w:rFonts w:ascii="宋体" w:hAnsi="宋体" w:cs="宋体"/>
                <w:b/>
                <w:sz w:val="24"/>
                <w:szCs w:val="24"/>
              </w:rPr>
            </w:pPr>
          </w:p>
        </w:tc>
      </w:tr>
      <w:tr w14:paraId="61F2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5690D396">
            <w:pPr>
              <w:jc w:val="center"/>
              <w:rPr>
                <w:rFonts w:ascii="宋体" w:hAnsi="宋体" w:cs="宋体"/>
                <w:sz w:val="24"/>
                <w:szCs w:val="24"/>
              </w:rPr>
            </w:pPr>
            <w:r>
              <w:rPr>
                <w:rFonts w:hint="eastAsia" w:ascii="宋体" w:hAnsi="宋体" w:cs="宋体"/>
                <w:sz w:val="24"/>
                <w:szCs w:val="24"/>
              </w:rPr>
              <w:t>4</w:t>
            </w:r>
          </w:p>
        </w:tc>
        <w:tc>
          <w:tcPr>
            <w:tcW w:w="1657" w:type="dxa"/>
            <w:shd w:val="clear" w:color="auto" w:fill="FFFFFF"/>
            <w:vAlign w:val="center"/>
          </w:tcPr>
          <w:p w14:paraId="15240BAA">
            <w:pPr>
              <w:widowControl/>
              <w:spacing w:line="0" w:lineRule="atLeast"/>
              <w:rPr>
                <w:rFonts w:ascii="宋体" w:hAnsi="宋体" w:cs="宋体"/>
                <w:sz w:val="24"/>
                <w:szCs w:val="24"/>
              </w:rPr>
            </w:pPr>
          </w:p>
        </w:tc>
        <w:tc>
          <w:tcPr>
            <w:tcW w:w="3165" w:type="dxa"/>
            <w:shd w:val="clear" w:color="auto" w:fill="FFFFFF"/>
            <w:vAlign w:val="center"/>
          </w:tcPr>
          <w:p w14:paraId="04FC19B1">
            <w:pPr>
              <w:widowControl/>
              <w:spacing w:line="0" w:lineRule="atLeast"/>
              <w:rPr>
                <w:rFonts w:ascii="宋体" w:hAnsi="宋体" w:cs="宋体"/>
                <w:sz w:val="24"/>
                <w:szCs w:val="24"/>
              </w:rPr>
            </w:pPr>
          </w:p>
        </w:tc>
        <w:tc>
          <w:tcPr>
            <w:tcW w:w="2514" w:type="dxa"/>
            <w:shd w:val="clear" w:color="auto" w:fill="FFFFFF"/>
            <w:vAlign w:val="center"/>
          </w:tcPr>
          <w:p w14:paraId="3E657874">
            <w:pPr>
              <w:jc w:val="center"/>
              <w:rPr>
                <w:rFonts w:ascii="宋体" w:hAnsi="宋体" w:cs="宋体"/>
                <w:b/>
                <w:sz w:val="24"/>
                <w:szCs w:val="24"/>
              </w:rPr>
            </w:pPr>
          </w:p>
        </w:tc>
        <w:tc>
          <w:tcPr>
            <w:tcW w:w="1782" w:type="dxa"/>
            <w:shd w:val="clear" w:color="auto" w:fill="FFFFFF"/>
            <w:vAlign w:val="center"/>
          </w:tcPr>
          <w:p w14:paraId="5C136679">
            <w:pPr>
              <w:jc w:val="center"/>
              <w:rPr>
                <w:rFonts w:ascii="宋体" w:hAnsi="宋体" w:cs="宋体"/>
                <w:b/>
                <w:sz w:val="24"/>
                <w:szCs w:val="24"/>
              </w:rPr>
            </w:pPr>
          </w:p>
        </w:tc>
      </w:tr>
      <w:tr w14:paraId="5D1D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2840DBF5">
            <w:pPr>
              <w:spacing w:line="460" w:lineRule="exact"/>
              <w:jc w:val="center"/>
              <w:rPr>
                <w:rFonts w:ascii="宋体" w:hAnsi="宋体" w:cs="宋体"/>
                <w:sz w:val="24"/>
                <w:szCs w:val="24"/>
              </w:rPr>
            </w:pPr>
            <w:r>
              <w:rPr>
                <w:rFonts w:hint="eastAsia" w:ascii="宋体" w:hAnsi="宋体" w:cs="宋体"/>
                <w:sz w:val="24"/>
                <w:szCs w:val="24"/>
              </w:rPr>
              <w:t>5</w:t>
            </w:r>
          </w:p>
        </w:tc>
        <w:tc>
          <w:tcPr>
            <w:tcW w:w="1657" w:type="dxa"/>
            <w:shd w:val="clear" w:color="auto" w:fill="FFFFFF"/>
            <w:vAlign w:val="center"/>
          </w:tcPr>
          <w:p w14:paraId="3130C9A4">
            <w:pPr>
              <w:widowControl/>
              <w:spacing w:line="0" w:lineRule="atLeast"/>
              <w:rPr>
                <w:rFonts w:ascii="宋体" w:hAnsi="宋体" w:cs="宋体"/>
                <w:sz w:val="24"/>
                <w:szCs w:val="24"/>
              </w:rPr>
            </w:pPr>
          </w:p>
        </w:tc>
        <w:tc>
          <w:tcPr>
            <w:tcW w:w="3165" w:type="dxa"/>
            <w:shd w:val="clear" w:color="auto" w:fill="FFFFFF"/>
            <w:vAlign w:val="center"/>
          </w:tcPr>
          <w:p w14:paraId="4D947DC6">
            <w:pPr>
              <w:widowControl/>
              <w:spacing w:line="0" w:lineRule="atLeast"/>
              <w:rPr>
                <w:rFonts w:ascii="宋体" w:hAnsi="宋体" w:cs="宋体"/>
                <w:sz w:val="24"/>
                <w:szCs w:val="24"/>
              </w:rPr>
            </w:pPr>
          </w:p>
        </w:tc>
        <w:tc>
          <w:tcPr>
            <w:tcW w:w="2514" w:type="dxa"/>
            <w:shd w:val="clear" w:color="auto" w:fill="FFFFFF"/>
            <w:vAlign w:val="center"/>
          </w:tcPr>
          <w:p w14:paraId="0757060D">
            <w:pPr>
              <w:jc w:val="center"/>
              <w:rPr>
                <w:rFonts w:ascii="宋体" w:hAnsi="宋体" w:cs="宋体"/>
                <w:b/>
                <w:sz w:val="24"/>
                <w:szCs w:val="24"/>
              </w:rPr>
            </w:pPr>
          </w:p>
        </w:tc>
        <w:tc>
          <w:tcPr>
            <w:tcW w:w="1782" w:type="dxa"/>
            <w:shd w:val="clear" w:color="auto" w:fill="FFFFFF"/>
            <w:vAlign w:val="center"/>
          </w:tcPr>
          <w:p w14:paraId="63AD48A5">
            <w:pPr>
              <w:jc w:val="center"/>
              <w:rPr>
                <w:rFonts w:ascii="宋体" w:hAnsi="宋体" w:cs="宋体"/>
                <w:b/>
                <w:sz w:val="24"/>
                <w:szCs w:val="24"/>
              </w:rPr>
            </w:pPr>
          </w:p>
        </w:tc>
      </w:tr>
      <w:tr w14:paraId="7893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49239617">
            <w:pPr>
              <w:spacing w:line="460" w:lineRule="exact"/>
              <w:jc w:val="center"/>
              <w:rPr>
                <w:rFonts w:ascii="宋体" w:hAnsi="宋体" w:cs="宋体"/>
                <w:sz w:val="24"/>
                <w:szCs w:val="24"/>
              </w:rPr>
            </w:pPr>
            <w:r>
              <w:rPr>
                <w:rFonts w:hint="eastAsia" w:ascii="宋体" w:hAnsi="宋体" w:cs="宋体"/>
                <w:sz w:val="24"/>
                <w:szCs w:val="24"/>
              </w:rPr>
              <w:t>6</w:t>
            </w:r>
          </w:p>
        </w:tc>
        <w:tc>
          <w:tcPr>
            <w:tcW w:w="1657" w:type="dxa"/>
            <w:shd w:val="clear" w:color="auto" w:fill="FFFFFF"/>
            <w:vAlign w:val="center"/>
          </w:tcPr>
          <w:p w14:paraId="246CFA70">
            <w:pPr>
              <w:widowControl/>
              <w:spacing w:line="0" w:lineRule="atLeast"/>
              <w:rPr>
                <w:rFonts w:ascii="宋体" w:hAnsi="宋体" w:cs="宋体"/>
                <w:kern w:val="0"/>
                <w:sz w:val="24"/>
                <w:szCs w:val="24"/>
              </w:rPr>
            </w:pPr>
          </w:p>
        </w:tc>
        <w:tc>
          <w:tcPr>
            <w:tcW w:w="3165" w:type="dxa"/>
            <w:shd w:val="clear" w:color="auto" w:fill="FFFFFF"/>
            <w:vAlign w:val="center"/>
          </w:tcPr>
          <w:p w14:paraId="1FAD87AF">
            <w:pPr>
              <w:widowControl/>
              <w:spacing w:line="0" w:lineRule="atLeast"/>
              <w:rPr>
                <w:rFonts w:ascii="宋体" w:hAnsi="宋体" w:cs="宋体"/>
                <w:kern w:val="0"/>
                <w:sz w:val="24"/>
                <w:szCs w:val="24"/>
              </w:rPr>
            </w:pPr>
          </w:p>
        </w:tc>
        <w:tc>
          <w:tcPr>
            <w:tcW w:w="2514" w:type="dxa"/>
            <w:shd w:val="clear" w:color="auto" w:fill="FFFFFF"/>
            <w:vAlign w:val="center"/>
          </w:tcPr>
          <w:p w14:paraId="5F480649">
            <w:pPr>
              <w:jc w:val="center"/>
              <w:rPr>
                <w:rFonts w:ascii="宋体" w:hAnsi="宋体" w:cs="宋体"/>
                <w:b/>
                <w:sz w:val="24"/>
                <w:szCs w:val="24"/>
              </w:rPr>
            </w:pPr>
          </w:p>
        </w:tc>
        <w:tc>
          <w:tcPr>
            <w:tcW w:w="1782" w:type="dxa"/>
            <w:shd w:val="clear" w:color="auto" w:fill="FFFFFF"/>
            <w:vAlign w:val="center"/>
          </w:tcPr>
          <w:p w14:paraId="74AEFE9B">
            <w:pPr>
              <w:jc w:val="center"/>
              <w:rPr>
                <w:rFonts w:ascii="宋体" w:hAnsi="宋体" w:cs="宋体"/>
                <w:b/>
                <w:sz w:val="24"/>
                <w:szCs w:val="24"/>
              </w:rPr>
            </w:pPr>
          </w:p>
        </w:tc>
      </w:tr>
      <w:tr w14:paraId="0095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2945D1FB">
            <w:pPr>
              <w:spacing w:line="460" w:lineRule="exact"/>
              <w:jc w:val="center"/>
              <w:rPr>
                <w:rFonts w:ascii="宋体" w:hAnsi="宋体" w:cs="宋体"/>
                <w:sz w:val="24"/>
                <w:szCs w:val="24"/>
              </w:rPr>
            </w:pPr>
            <w:r>
              <w:rPr>
                <w:rFonts w:hint="eastAsia" w:ascii="宋体" w:hAnsi="宋体" w:cs="宋体"/>
                <w:sz w:val="24"/>
                <w:szCs w:val="24"/>
              </w:rPr>
              <w:t>7</w:t>
            </w:r>
          </w:p>
        </w:tc>
        <w:tc>
          <w:tcPr>
            <w:tcW w:w="1657" w:type="dxa"/>
            <w:shd w:val="clear" w:color="auto" w:fill="FFFFFF"/>
            <w:vAlign w:val="center"/>
          </w:tcPr>
          <w:p w14:paraId="0956F2C4">
            <w:pPr>
              <w:widowControl/>
              <w:spacing w:line="0" w:lineRule="atLeast"/>
              <w:rPr>
                <w:rFonts w:ascii="宋体" w:hAnsi="宋体" w:cs="宋体"/>
                <w:kern w:val="0"/>
                <w:sz w:val="24"/>
                <w:szCs w:val="24"/>
              </w:rPr>
            </w:pPr>
          </w:p>
        </w:tc>
        <w:tc>
          <w:tcPr>
            <w:tcW w:w="3165" w:type="dxa"/>
            <w:shd w:val="clear" w:color="auto" w:fill="FFFFFF"/>
            <w:vAlign w:val="center"/>
          </w:tcPr>
          <w:p w14:paraId="190DC438">
            <w:pPr>
              <w:widowControl/>
              <w:spacing w:line="0" w:lineRule="atLeast"/>
              <w:rPr>
                <w:rFonts w:ascii="宋体" w:hAnsi="宋体" w:cs="宋体"/>
                <w:kern w:val="0"/>
                <w:sz w:val="24"/>
                <w:szCs w:val="24"/>
              </w:rPr>
            </w:pPr>
          </w:p>
        </w:tc>
        <w:tc>
          <w:tcPr>
            <w:tcW w:w="2514" w:type="dxa"/>
            <w:shd w:val="clear" w:color="auto" w:fill="FFFFFF"/>
            <w:vAlign w:val="center"/>
          </w:tcPr>
          <w:p w14:paraId="5D7C82BC">
            <w:pPr>
              <w:jc w:val="center"/>
              <w:rPr>
                <w:rFonts w:ascii="宋体" w:hAnsi="宋体" w:cs="宋体"/>
                <w:b/>
                <w:sz w:val="24"/>
                <w:szCs w:val="24"/>
              </w:rPr>
            </w:pPr>
          </w:p>
        </w:tc>
        <w:tc>
          <w:tcPr>
            <w:tcW w:w="1782" w:type="dxa"/>
            <w:shd w:val="clear" w:color="auto" w:fill="FFFFFF"/>
            <w:vAlign w:val="center"/>
          </w:tcPr>
          <w:p w14:paraId="5EA021E0">
            <w:pPr>
              <w:jc w:val="center"/>
              <w:rPr>
                <w:rFonts w:ascii="宋体" w:hAnsi="宋体" w:cs="宋体"/>
                <w:b/>
                <w:sz w:val="24"/>
                <w:szCs w:val="24"/>
              </w:rPr>
            </w:pPr>
          </w:p>
        </w:tc>
      </w:tr>
      <w:tr w14:paraId="64E2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76DB2C74">
            <w:pPr>
              <w:spacing w:line="460" w:lineRule="exact"/>
              <w:jc w:val="center"/>
              <w:rPr>
                <w:rFonts w:ascii="宋体" w:hAnsi="宋体" w:cs="宋体"/>
                <w:sz w:val="24"/>
                <w:szCs w:val="24"/>
              </w:rPr>
            </w:pPr>
            <w:r>
              <w:rPr>
                <w:rFonts w:hint="eastAsia" w:ascii="宋体" w:hAnsi="宋体" w:cs="宋体"/>
                <w:sz w:val="24"/>
                <w:szCs w:val="24"/>
              </w:rPr>
              <w:t>8</w:t>
            </w:r>
          </w:p>
        </w:tc>
        <w:tc>
          <w:tcPr>
            <w:tcW w:w="1657" w:type="dxa"/>
            <w:shd w:val="clear" w:color="auto" w:fill="FFFFFF"/>
            <w:vAlign w:val="center"/>
          </w:tcPr>
          <w:p w14:paraId="2C4264BA">
            <w:pPr>
              <w:widowControl/>
              <w:spacing w:line="0" w:lineRule="atLeast"/>
              <w:rPr>
                <w:rFonts w:ascii="宋体" w:hAnsi="宋体" w:cs="宋体"/>
                <w:kern w:val="0"/>
                <w:sz w:val="24"/>
                <w:szCs w:val="24"/>
              </w:rPr>
            </w:pPr>
          </w:p>
        </w:tc>
        <w:tc>
          <w:tcPr>
            <w:tcW w:w="3165" w:type="dxa"/>
            <w:shd w:val="clear" w:color="auto" w:fill="FFFFFF"/>
            <w:vAlign w:val="center"/>
          </w:tcPr>
          <w:p w14:paraId="27490BC7">
            <w:pPr>
              <w:widowControl/>
              <w:spacing w:line="0" w:lineRule="atLeast"/>
              <w:rPr>
                <w:rFonts w:ascii="宋体" w:hAnsi="宋体" w:cs="宋体"/>
                <w:kern w:val="0"/>
                <w:sz w:val="24"/>
                <w:szCs w:val="24"/>
              </w:rPr>
            </w:pPr>
          </w:p>
        </w:tc>
        <w:tc>
          <w:tcPr>
            <w:tcW w:w="2514" w:type="dxa"/>
            <w:shd w:val="clear" w:color="auto" w:fill="FFFFFF"/>
            <w:vAlign w:val="center"/>
          </w:tcPr>
          <w:p w14:paraId="4F50ABCE">
            <w:pPr>
              <w:jc w:val="center"/>
              <w:rPr>
                <w:rFonts w:ascii="宋体" w:hAnsi="宋体" w:cs="宋体"/>
                <w:b/>
                <w:sz w:val="24"/>
                <w:szCs w:val="24"/>
              </w:rPr>
            </w:pPr>
          </w:p>
        </w:tc>
        <w:tc>
          <w:tcPr>
            <w:tcW w:w="1782" w:type="dxa"/>
            <w:shd w:val="clear" w:color="auto" w:fill="FFFFFF"/>
            <w:vAlign w:val="center"/>
          </w:tcPr>
          <w:p w14:paraId="7DFBE512">
            <w:pPr>
              <w:jc w:val="center"/>
              <w:rPr>
                <w:rFonts w:ascii="宋体" w:hAnsi="宋体" w:cs="宋体"/>
                <w:b/>
                <w:sz w:val="24"/>
                <w:szCs w:val="24"/>
              </w:rPr>
            </w:pPr>
          </w:p>
        </w:tc>
      </w:tr>
      <w:tr w14:paraId="4E93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3F74D6C0">
            <w:pPr>
              <w:spacing w:line="460" w:lineRule="exact"/>
              <w:jc w:val="center"/>
              <w:rPr>
                <w:rFonts w:ascii="宋体" w:hAnsi="宋体" w:cs="宋体"/>
                <w:sz w:val="24"/>
                <w:szCs w:val="24"/>
              </w:rPr>
            </w:pPr>
            <w:r>
              <w:rPr>
                <w:rFonts w:hint="eastAsia" w:ascii="宋体" w:hAnsi="宋体" w:cs="宋体"/>
                <w:sz w:val="24"/>
                <w:szCs w:val="24"/>
              </w:rPr>
              <w:t>9</w:t>
            </w:r>
          </w:p>
        </w:tc>
        <w:tc>
          <w:tcPr>
            <w:tcW w:w="1657" w:type="dxa"/>
            <w:shd w:val="clear" w:color="auto" w:fill="FFFFFF"/>
            <w:vAlign w:val="center"/>
          </w:tcPr>
          <w:p w14:paraId="084E7A9D">
            <w:pPr>
              <w:widowControl/>
              <w:spacing w:line="0" w:lineRule="atLeast"/>
              <w:rPr>
                <w:rFonts w:ascii="宋体" w:hAnsi="宋体" w:cs="宋体"/>
                <w:kern w:val="0"/>
                <w:sz w:val="24"/>
                <w:szCs w:val="24"/>
              </w:rPr>
            </w:pPr>
          </w:p>
        </w:tc>
        <w:tc>
          <w:tcPr>
            <w:tcW w:w="3165" w:type="dxa"/>
            <w:shd w:val="clear" w:color="auto" w:fill="FFFFFF"/>
            <w:vAlign w:val="center"/>
          </w:tcPr>
          <w:p w14:paraId="1AB3F380">
            <w:pPr>
              <w:widowControl/>
              <w:spacing w:line="0" w:lineRule="atLeast"/>
              <w:rPr>
                <w:rFonts w:ascii="宋体" w:hAnsi="宋体" w:cs="宋体"/>
                <w:kern w:val="0"/>
                <w:sz w:val="24"/>
                <w:szCs w:val="24"/>
              </w:rPr>
            </w:pPr>
          </w:p>
        </w:tc>
        <w:tc>
          <w:tcPr>
            <w:tcW w:w="2514" w:type="dxa"/>
            <w:shd w:val="clear" w:color="auto" w:fill="FFFFFF"/>
            <w:vAlign w:val="center"/>
          </w:tcPr>
          <w:p w14:paraId="3C7369E5">
            <w:pPr>
              <w:jc w:val="center"/>
              <w:rPr>
                <w:rFonts w:ascii="宋体" w:hAnsi="宋体" w:cs="宋体"/>
                <w:b/>
                <w:sz w:val="24"/>
                <w:szCs w:val="24"/>
              </w:rPr>
            </w:pPr>
          </w:p>
        </w:tc>
        <w:tc>
          <w:tcPr>
            <w:tcW w:w="1782" w:type="dxa"/>
            <w:shd w:val="clear" w:color="auto" w:fill="FFFFFF"/>
            <w:vAlign w:val="center"/>
          </w:tcPr>
          <w:p w14:paraId="504FE542">
            <w:pPr>
              <w:jc w:val="center"/>
              <w:rPr>
                <w:rFonts w:ascii="宋体" w:hAnsi="宋体" w:cs="宋体"/>
                <w:b/>
                <w:sz w:val="24"/>
                <w:szCs w:val="24"/>
              </w:rPr>
            </w:pPr>
          </w:p>
        </w:tc>
      </w:tr>
      <w:tr w14:paraId="046E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4B239F12">
            <w:pPr>
              <w:spacing w:line="460" w:lineRule="exact"/>
              <w:jc w:val="center"/>
              <w:rPr>
                <w:rFonts w:ascii="宋体" w:hAnsi="宋体" w:cs="宋体"/>
                <w:sz w:val="24"/>
                <w:szCs w:val="24"/>
              </w:rPr>
            </w:pPr>
            <w:r>
              <w:rPr>
                <w:rFonts w:hint="eastAsia" w:ascii="宋体" w:hAnsi="宋体" w:cs="宋体"/>
                <w:sz w:val="24"/>
                <w:szCs w:val="24"/>
              </w:rPr>
              <w:t>10</w:t>
            </w:r>
          </w:p>
        </w:tc>
        <w:tc>
          <w:tcPr>
            <w:tcW w:w="1657" w:type="dxa"/>
            <w:shd w:val="clear" w:color="auto" w:fill="FFFFFF"/>
            <w:vAlign w:val="center"/>
          </w:tcPr>
          <w:p w14:paraId="4CE42561">
            <w:pPr>
              <w:widowControl/>
              <w:spacing w:line="0" w:lineRule="atLeast"/>
              <w:rPr>
                <w:rFonts w:ascii="宋体" w:hAnsi="宋体" w:cs="宋体"/>
                <w:kern w:val="0"/>
                <w:sz w:val="24"/>
                <w:szCs w:val="24"/>
              </w:rPr>
            </w:pPr>
          </w:p>
        </w:tc>
        <w:tc>
          <w:tcPr>
            <w:tcW w:w="3165" w:type="dxa"/>
            <w:shd w:val="clear" w:color="auto" w:fill="FFFFFF"/>
            <w:vAlign w:val="center"/>
          </w:tcPr>
          <w:p w14:paraId="3BB83E45">
            <w:pPr>
              <w:widowControl/>
              <w:spacing w:line="0" w:lineRule="atLeast"/>
              <w:rPr>
                <w:rFonts w:ascii="宋体" w:hAnsi="宋体" w:cs="宋体"/>
                <w:kern w:val="0"/>
                <w:sz w:val="24"/>
                <w:szCs w:val="24"/>
              </w:rPr>
            </w:pPr>
          </w:p>
        </w:tc>
        <w:tc>
          <w:tcPr>
            <w:tcW w:w="2514" w:type="dxa"/>
            <w:shd w:val="clear" w:color="auto" w:fill="FFFFFF"/>
            <w:vAlign w:val="center"/>
          </w:tcPr>
          <w:p w14:paraId="2E282F59">
            <w:pPr>
              <w:jc w:val="center"/>
              <w:rPr>
                <w:rFonts w:ascii="宋体" w:hAnsi="宋体" w:cs="宋体"/>
                <w:b/>
                <w:sz w:val="24"/>
                <w:szCs w:val="24"/>
              </w:rPr>
            </w:pPr>
          </w:p>
        </w:tc>
        <w:tc>
          <w:tcPr>
            <w:tcW w:w="1782" w:type="dxa"/>
            <w:shd w:val="clear" w:color="auto" w:fill="FFFFFF"/>
            <w:vAlign w:val="center"/>
          </w:tcPr>
          <w:p w14:paraId="455939D9">
            <w:pPr>
              <w:jc w:val="center"/>
              <w:rPr>
                <w:rFonts w:ascii="宋体" w:hAnsi="宋体" w:cs="宋体"/>
                <w:b/>
                <w:sz w:val="24"/>
                <w:szCs w:val="24"/>
              </w:rPr>
            </w:pPr>
          </w:p>
        </w:tc>
      </w:tr>
      <w:tr w14:paraId="6AF2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181B2992">
            <w:pPr>
              <w:spacing w:line="460" w:lineRule="exact"/>
              <w:jc w:val="center"/>
              <w:rPr>
                <w:rFonts w:ascii="宋体" w:hAnsi="宋体" w:cs="宋体"/>
                <w:sz w:val="24"/>
                <w:szCs w:val="24"/>
              </w:rPr>
            </w:pPr>
            <w:r>
              <w:rPr>
                <w:rFonts w:hint="eastAsia" w:ascii="宋体" w:hAnsi="宋体" w:cs="宋体"/>
                <w:sz w:val="24"/>
                <w:szCs w:val="24"/>
              </w:rPr>
              <w:t>…</w:t>
            </w:r>
          </w:p>
        </w:tc>
        <w:tc>
          <w:tcPr>
            <w:tcW w:w="1657" w:type="dxa"/>
            <w:shd w:val="clear" w:color="auto" w:fill="FFFFFF"/>
            <w:vAlign w:val="center"/>
          </w:tcPr>
          <w:p w14:paraId="50F6FEF7">
            <w:pPr>
              <w:widowControl/>
              <w:spacing w:line="0" w:lineRule="atLeast"/>
              <w:rPr>
                <w:rFonts w:ascii="宋体" w:hAnsi="宋体" w:cs="宋体"/>
                <w:kern w:val="0"/>
                <w:sz w:val="24"/>
                <w:szCs w:val="24"/>
              </w:rPr>
            </w:pPr>
          </w:p>
        </w:tc>
        <w:tc>
          <w:tcPr>
            <w:tcW w:w="3165" w:type="dxa"/>
            <w:shd w:val="clear" w:color="auto" w:fill="FFFFFF"/>
            <w:vAlign w:val="center"/>
          </w:tcPr>
          <w:p w14:paraId="7934D4DC">
            <w:pPr>
              <w:widowControl/>
              <w:spacing w:line="0" w:lineRule="atLeast"/>
              <w:rPr>
                <w:rFonts w:ascii="宋体" w:hAnsi="宋体" w:cs="宋体"/>
                <w:kern w:val="0"/>
                <w:sz w:val="24"/>
                <w:szCs w:val="24"/>
              </w:rPr>
            </w:pPr>
          </w:p>
        </w:tc>
        <w:tc>
          <w:tcPr>
            <w:tcW w:w="2514" w:type="dxa"/>
            <w:shd w:val="clear" w:color="auto" w:fill="FFFFFF"/>
            <w:vAlign w:val="center"/>
          </w:tcPr>
          <w:p w14:paraId="634D7879">
            <w:pPr>
              <w:jc w:val="center"/>
              <w:rPr>
                <w:rFonts w:ascii="宋体" w:hAnsi="宋体" w:cs="宋体"/>
                <w:b/>
                <w:sz w:val="24"/>
                <w:szCs w:val="24"/>
              </w:rPr>
            </w:pPr>
          </w:p>
        </w:tc>
        <w:tc>
          <w:tcPr>
            <w:tcW w:w="1782" w:type="dxa"/>
            <w:shd w:val="clear" w:color="auto" w:fill="FFFFFF"/>
            <w:vAlign w:val="center"/>
          </w:tcPr>
          <w:p w14:paraId="43AC025F">
            <w:pPr>
              <w:jc w:val="center"/>
              <w:rPr>
                <w:rFonts w:ascii="宋体" w:hAnsi="宋体" w:cs="宋体"/>
                <w:b/>
                <w:sz w:val="24"/>
                <w:szCs w:val="24"/>
              </w:rPr>
            </w:pPr>
          </w:p>
        </w:tc>
      </w:tr>
      <w:tr w14:paraId="7020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814" w:type="dxa"/>
            <w:shd w:val="clear" w:color="auto" w:fill="FFFFFF"/>
            <w:vAlign w:val="center"/>
          </w:tcPr>
          <w:p w14:paraId="3D76BF77">
            <w:pPr>
              <w:spacing w:line="460" w:lineRule="exact"/>
              <w:jc w:val="center"/>
              <w:rPr>
                <w:rFonts w:ascii="宋体" w:hAnsi="宋体" w:cs="宋体"/>
                <w:sz w:val="24"/>
                <w:szCs w:val="24"/>
              </w:rPr>
            </w:pPr>
            <w:r>
              <w:rPr>
                <w:rFonts w:hint="eastAsia" w:ascii="宋体" w:hAnsi="宋体" w:cs="宋体"/>
                <w:kern w:val="0"/>
                <w:sz w:val="24"/>
                <w:szCs w:val="24"/>
              </w:rPr>
              <w:t>备注</w:t>
            </w:r>
          </w:p>
        </w:tc>
        <w:tc>
          <w:tcPr>
            <w:tcW w:w="9118" w:type="dxa"/>
            <w:gridSpan w:val="4"/>
            <w:shd w:val="clear" w:color="auto" w:fill="FFFFFF"/>
            <w:vAlign w:val="center"/>
          </w:tcPr>
          <w:p w14:paraId="7B3E9CC8">
            <w:pPr>
              <w:spacing w:line="460" w:lineRule="exact"/>
              <w:rPr>
                <w:rFonts w:ascii="宋体" w:hAnsi="宋体" w:cs="宋体"/>
                <w:sz w:val="24"/>
                <w:szCs w:val="24"/>
              </w:rPr>
            </w:pPr>
          </w:p>
        </w:tc>
      </w:tr>
    </w:tbl>
    <w:p w14:paraId="5789587D">
      <w:pPr>
        <w:spacing w:line="360" w:lineRule="auto"/>
        <w:ind w:firstLine="470" w:firstLineChars="196"/>
        <w:rPr>
          <w:rFonts w:ascii="宋体" w:hAnsi="宋体" w:cs="宋体"/>
          <w:kern w:val="0"/>
          <w:sz w:val="24"/>
        </w:rPr>
      </w:pPr>
      <w:r>
        <w:rPr>
          <w:rFonts w:hint="eastAsia" w:ascii="宋体" w:hAnsi="宋体" w:cs="宋体"/>
          <w:sz w:val="24"/>
          <w:szCs w:val="24"/>
        </w:rPr>
        <w:t>注：</w:t>
      </w:r>
      <w:r>
        <w:rPr>
          <w:rFonts w:hint="eastAsia" w:ascii="宋体" w:hAnsi="宋体" w:cs="宋体"/>
          <w:kern w:val="0"/>
          <w:sz w:val="24"/>
        </w:rPr>
        <w:t>1.如投标产品（服务）的技术要求与本采购文件的要求不完全一致，则投标供应商必须填写此表。未填写的内容视为完全响应本采购文件要求。</w:t>
      </w:r>
    </w:p>
    <w:p w14:paraId="32C016D0">
      <w:pPr>
        <w:pStyle w:val="2"/>
        <w:ind w:firstLine="960" w:firstLineChars="400"/>
        <w:rPr>
          <w:rFonts w:ascii="宋体" w:hAnsi="宋体" w:cs="宋体"/>
          <w:kern w:val="0"/>
          <w:sz w:val="24"/>
          <w:szCs w:val="21"/>
        </w:rPr>
      </w:pPr>
      <w:r>
        <w:rPr>
          <w:rFonts w:hint="eastAsia" w:ascii="宋体" w:hAnsi="宋体" w:cs="宋体"/>
          <w:kern w:val="0"/>
          <w:sz w:val="24"/>
          <w:szCs w:val="21"/>
        </w:rPr>
        <w:t>2.“偏离情况”应填写“无偏离”</w:t>
      </w:r>
      <w:r>
        <w:rPr>
          <w:rFonts w:hint="eastAsia" w:ascii="宋体" w:hAnsi="宋体" w:cs="宋体"/>
          <w:b/>
          <w:sz w:val="32"/>
          <w:szCs w:val="32"/>
        </w:rPr>
        <w:t>、</w:t>
      </w:r>
      <w:r>
        <w:rPr>
          <w:rFonts w:hint="eastAsia" w:ascii="宋体" w:hAnsi="宋体" w:cs="宋体"/>
          <w:kern w:val="0"/>
          <w:sz w:val="24"/>
          <w:szCs w:val="21"/>
        </w:rPr>
        <w:t>“正偏离”</w:t>
      </w:r>
      <w:r>
        <w:rPr>
          <w:rFonts w:hint="eastAsia" w:ascii="宋体" w:hAnsi="宋体" w:cs="宋体"/>
          <w:b/>
          <w:sz w:val="32"/>
          <w:szCs w:val="32"/>
        </w:rPr>
        <w:t>、</w:t>
      </w:r>
      <w:r>
        <w:rPr>
          <w:rFonts w:hint="eastAsia" w:ascii="宋体" w:hAnsi="宋体" w:cs="宋体"/>
          <w:kern w:val="0"/>
          <w:sz w:val="24"/>
          <w:szCs w:val="21"/>
        </w:rPr>
        <w:t>“负偏离”。采购人不接受“负偏离”。</w:t>
      </w:r>
    </w:p>
    <w:p w14:paraId="2F8B1811">
      <w:pPr>
        <w:pStyle w:val="2"/>
        <w:ind w:firstLine="960" w:firstLineChars="400"/>
        <w:rPr>
          <w:rFonts w:ascii="宋体" w:hAnsi="宋体" w:cs="宋体"/>
          <w:kern w:val="0"/>
          <w:sz w:val="24"/>
          <w:szCs w:val="21"/>
        </w:rPr>
      </w:pPr>
      <w:r>
        <w:rPr>
          <w:rFonts w:hint="eastAsia" w:ascii="宋体" w:hAnsi="宋体" w:cs="宋体"/>
          <w:sz w:val="24"/>
        </w:rPr>
        <w:t xml:space="preserve">3. </w:t>
      </w:r>
      <w:r>
        <w:rPr>
          <w:rFonts w:hint="eastAsia" w:ascii="宋体" w:hAnsi="宋体" w:cs="宋体"/>
          <w:kern w:val="0"/>
          <w:sz w:val="24"/>
          <w:szCs w:val="21"/>
        </w:rPr>
        <w:t>行数不够可自行添加。</w:t>
      </w:r>
    </w:p>
    <w:p w14:paraId="45EBB24A">
      <w:pPr>
        <w:spacing w:line="360" w:lineRule="auto"/>
        <w:rPr>
          <w:rFonts w:ascii="宋体" w:hAnsi="宋体" w:cs="宋体"/>
          <w:sz w:val="24"/>
          <w:szCs w:val="24"/>
          <w:u w:val="single"/>
        </w:rPr>
      </w:pPr>
      <w:r>
        <w:rPr>
          <w:rFonts w:hint="eastAsia" w:ascii="宋体" w:hAnsi="宋体" w:cs="宋体"/>
          <w:sz w:val="24"/>
          <w:szCs w:val="24"/>
        </w:rPr>
        <w:t>投标单位全称（加盖公章）：</w:t>
      </w:r>
    </w:p>
    <w:p w14:paraId="21FF7201">
      <w:pPr>
        <w:spacing w:line="360" w:lineRule="auto"/>
        <w:rPr>
          <w:rFonts w:ascii="宋体" w:hAnsi="宋体" w:cs="宋体"/>
          <w:sz w:val="24"/>
          <w:szCs w:val="24"/>
        </w:rPr>
      </w:pPr>
      <w:r>
        <w:rPr>
          <w:rFonts w:hint="eastAsia" w:ascii="宋体" w:hAnsi="宋体" w:cs="宋体"/>
          <w:sz w:val="24"/>
          <w:szCs w:val="24"/>
        </w:rPr>
        <w:t>法定代表人（签字或盖章）：</w:t>
      </w:r>
    </w:p>
    <w:p w14:paraId="0EB8D7A0">
      <w:pPr>
        <w:spacing w:line="360" w:lineRule="auto"/>
        <w:outlineLvl w:val="0"/>
        <w:rPr>
          <w:rFonts w:ascii="宋体" w:hAnsi="宋体" w:cs="宋体"/>
          <w:sz w:val="24"/>
          <w:szCs w:val="24"/>
        </w:rPr>
      </w:pPr>
      <w:r>
        <w:rPr>
          <w:rFonts w:hint="eastAsia" w:ascii="宋体" w:hAnsi="宋体" w:cs="宋体"/>
          <w:sz w:val="24"/>
          <w:szCs w:val="24"/>
        </w:rPr>
        <w:t>日期：         年       月     日</w:t>
      </w:r>
    </w:p>
    <w:p w14:paraId="1D13DC2B">
      <w:pPr>
        <w:autoSpaceDE w:val="0"/>
        <w:autoSpaceDN w:val="0"/>
        <w:spacing w:line="100" w:lineRule="atLeast"/>
        <w:jc w:val="left"/>
        <w:rPr>
          <w:rFonts w:ascii="宋体" w:hAnsi="宋体" w:cs="宋体"/>
          <w:sz w:val="28"/>
          <w:szCs w:val="28"/>
        </w:rPr>
      </w:pPr>
      <w:r>
        <w:rPr>
          <w:rFonts w:hint="eastAsia" w:ascii="宋体" w:hAnsi="宋体" w:cs="宋体"/>
          <w:sz w:val="28"/>
          <w:szCs w:val="28"/>
        </w:rPr>
        <w:t>附件十：</w:t>
      </w:r>
    </w:p>
    <w:p w14:paraId="57C99A07">
      <w:pPr>
        <w:autoSpaceDE w:val="0"/>
        <w:autoSpaceDN w:val="0"/>
        <w:spacing w:line="100" w:lineRule="atLeast"/>
        <w:jc w:val="center"/>
        <w:rPr>
          <w:rFonts w:ascii="宋体" w:hAnsi="宋体" w:cs="宋体"/>
          <w:b/>
          <w:sz w:val="28"/>
          <w:szCs w:val="28"/>
        </w:rPr>
      </w:pPr>
      <w:r>
        <w:rPr>
          <w:rFonts w:hint="eastAsia" w:ascii="宋体" w:hAnsi="宋体" w:cs="宋体"/>
          <w:b/>
          <w:sz w:val="28"/>
          <w:szCs w:val="28"/>
        </w:rPr>
        <w:t>产品质量和售后服务承诺书</w:t>
      </w:r>
    </w:p>
    <w:p w14:paraId="5FF1A9C1">
      <w:pPr>
        <w:pStyle w:val="2"/>
      </w:pPr>
    </w:p>
    <w:p w14:paraId="2ABF823E">
      <w:pPr>
        <w:pStyle w:val="2"/>
      </w:pPr>
    </w:p>
    <w:p w14:paraId="3D668857">
      <w:pPr>
        <w:pStyle w:val="2"/>
      </w:pPr>
    </w:p>
    <w:p w14:paraId="00BA4944">
      <w:pPr>
        <w:pStyle w:val="2"/>
      </w:pPr>
    </w:p>
    <w:p w14:paraId="0EC9CB05">
      <w:pPr>
        <w:pStyle w:val="2"/>
      </w:pPr>
    </w:p>
    <w:p w14:paraId="44D627C1">
      <w:pPr>
        <w:pStyle w:val="2"/>
      </w:pPr>
    </w:p>
    <w:p w14:paraId="3CB1CDEE">
      <w:pPr>
        <w:pStyle w:val="2"/>
      </w:pPr>
    </w:p>
    <w:p w14:paraId="4923F494">
      <w:pPr>
        <w:pStyle w:val="2"/>
      </w:pPr>
    </w:p>
    <w:p w14:paraId="1E0E30C5">
      <w:pPr>
        <w:pStyle w:val="2"/>
      </w:pPr>
    </w:p>
    <w:p w14:paraId="3012FEB2">
      <w:pPr>
        <w:pStyle w:val="2"/>
      </w:pPr>
    </w:p>
    <w:p w14:paraId="32AC1FB0">
      <w:pPr>
        <w:pStyle w:val="2"/>
      </w:pPr>
    </w:p>
    <w:p w14:paraId="1052CCAF">
      <w:pPr>
        <w:pStyle w:val="2"/>
      </w:pPr>
    </w:p>
    <w:p w14:paraId="71EB6B57">
      <w:pPr>
        <w:pStyle w:val="2"/>
      </w:pPr>
    </w:p>
    <w:p w14:paraId="25B54413">
      <w:pPr>
        <w:pStyle w:val="2"/>
      </w:pPr>
    </w:p>
    <w:p w14:paraId="4086C1CE">
      <w:pPr>
        <w:pStyle w:val="2"/>
      </w:pPr>
    </w:p>
    <w:p w14:paraId="33AE2309">
      <w:pPr>
        <w:pStyle w:val="2"/>
      </w:pPr>
    </w:p>
    <w:p w14:paraId="077A18E5">
      <w:pPr>
        <w:pStyle w:val="2"/>
      </w:pPr>
    </w:p>
    <w:p w14:paraId="0A663AEB">
      <w:pPr>
        <w:pStyle w:val="2"/>
      </w:pPr>
    </w:p>
    <w:p w14:paraId="63337260">
      <w:pPr>
        <w:pStyle w:val="2"/>
      </w:pPr>
    </w:p>
    <w:p w14:paraId="59602A75">
      <w:pPr>
        <w:pStyle w:val="2"/>
      </w:pPr>
    </w:p>
    <w:p w14:paraId="5E4440ED">
      <w:pPr>
        <w:numPr>
          <w:ilvl w:val="0"/>
          <w:numId w:val="12"/>
        </w:numPr>
        <w:spacing w:line="420" w:lineRule="exact"/>
        <w:ind w:firstLine="643" w:firstLineChars="200"/>
        <w:jc w:val="center"/>
        <w:rPr>
          <w:rFonts w:ascii="宋体" w:hAnsi="宋体" w:cs="宋体"/>
          <w:b/>
          <w:sz w:val="32"/>
          <w:szCs w:val="32"/>
        </w:rPr>
      </w:pPr>
      <w:r>
        <w:rPr>
          <w:rFonts w:hint="eastAsia" w:ascii="宋体" w:hAnsi="宋体" w:cs="宋体"/>
          <w:b/>
          <w:sz w:val="32"/>
          <w:szCs w:val="32"/>
        </w:rPr>
        <w:t xml:space="preserve">供需合同模板 </w:t>
      </w:r>
    </w:p>
    <w:p w14:paraId="627B1EE1">
      <w:pPr>
        <w:spacing w:line="420" w:lineRule="exact"/>
        <w:rPr>
          <w:rFonts w:ascii="宋体" w:hAnsi="宋体" w:cs="宋体"/>
          <w:b/>
          <w:sz w:val="32"/>
          <w:szCs w:val="32"/>
        </w:rPr>
      </w:pPr>
    </w:p>
    <w:p w14:paraId="780E43DF">
      <w:pPr>
        <w:spacing w:line="420" w:lineRule="exact"/>
        <w:jc w:val="center"/>
        <w:rPr>
          <w:rFonts w:ascii="宋体" w:hAnsi="宋体" w:cs="宋体"/>
          <w:b/>
          <w:sz w:val="32"/>
          <w:szCs w:val="32"/>
        </w:rPr>
      </w:pPr>
      <w:r>
        <w:rPr>
          <w:rFonts w:hint="eastAsia" w:ascii="宋体" w:hAnsi="宋体" w:cs="宋体"/>
          <w:b/>
          <w:sz w:val="32"/>
          <w:szCs w:val="32"/>
        </w:rPr>
        <w:t>如东县中医院</w:t>
      </w:r>
      <w:r>
        <w:rPr>
          <w:rFonts w:hint="eastAsia" w:ascii="宋体" w:hAnsi="宋体" w:cs="宋体"/>
          <w:b/>
          <w:sz w:val="32"/>
          <w:szCs w:val="32"/>
          <w:lang w:eastAsia="zh-CN"/>
        </w:rPr>
        <w:t>心电系统升级</w:t>
      </w:r>
      <w:r>
        <w:rPr>
          <w:rFonts w:hint="eastAsia" w:ascii="宋体" w:hAnsi="宋体" w:cs="宋体"/>
          <w:b/>
          <w:sz w:val="32"/>
          <w:szCs w:val="32"/>
        </w:rPr>
        <w:t>采购项目供需合同</w:t>
      </w:r>
    </w:p>
    <w:p w14:paraId="30D3FC7B">
      <w:pPr>
        <w:pStyle w:val="70"/>
        <w:spacing w:before="0" w:beforeAutospacing="0" w:after="0" w:afterAutospacing="0" w:line="360" w:lineRule="auto"/>
        <w:ind w:firstLine="420" w:firstLineChars="200"/>
        <w:rPr>
          <w:sz w:val="21"/>
          <w:szCs w:val="21"/>
        </w:rPr>
      </w:pPr>
      <w:r>
        <w:rPr>
          <w:rFonts w:hint="eastAsia"/>
          <w:color w:val="262C72"/>
          <w:sz w:val="21"/>
          <w:szCs w:val="21"/>
        </w:rPr>
        <w:t>合同</w:t>
      </w:r>
    </w:p>
    <w:p w14:paraId="7C47B291">
      <w:pPr>
        <w:spacing w:line="360" w:lineRule="auto"/>
        <w:ind w:firstLine="420" w:firstLineChars="200"/>
        <w:jc w:val="left"/>
        <w:rPr>
          <w:rFonts w:ascii="宋体" w:hAnsi="宋体" w:cs="宋体"/>
          <w:szCs w:val="21"/>
          <w:u w:val="single"/>
        </w:rPr>
      </w:pPr>
      <w:r>
        <w:rPr>
          <w:rFonts w:hint="eastAsia" w:ascii="宋体" w:hAnsi="宋体" w:cs="宋体"/>
          <w:szCs w:val="21"/>
        </w:rPr>
        <w:t>甲　          方：</w:t>
      </w:r>
      <w:r>
        <w:rPr>
          <w:rFonts w:hint="eastAsia" w:ascii="宋体" w:hAnsi="宋体" w:cs="宋体"/>
          <w:szCs w:val="21"/>
          <w:u w:val="single"/>
        </w:rPr>
        <w:t xml:space="preserve">如东县中医院           </w:t>
      </w:r>
    </w:p>
    <w:p w14:paraId="51AE48B5">
      <w:pPr>
        <w:spacing w:line="360" w:lineRule="auto"/>
        <w:ind w:firstLine="420" w:firstLineChars="200"/>
        <w:jc w:val="left"/>
        <w:rPr>
          <w:rFonts w:ascii="宋体" w:hAnsi="宋体" w:cs="宋体"/>
          <w:szCs w:val="21"/>
        </w:rPr>
      </w:pPr>
      <w:r>
        <w:rPr>
          <w:rFonts w:hint="eastAsia" w:ascii="宋体" w:hAnsi="宋体" w:cs="宋体"/>
          <w:szCs w:val="21"/>
        </w:rPr>
        <w:t>住     所     地：</w:t>
      </w:r>
      <w:r>
        <w:rPr>
          <w:rFonts w:hint="eastAsia" w:ascii="宋体" w:hAnsi="宋体" w:cs="宋体"/>
          <w:szCs w:val="21"/>
          <w:u w:val="single"/>
        </w:rPr>
        <w:t>如东县掘港镇淮河路66号</w:t>
      </w:r>
    </w:p>
    <w:p w14:paraId="51A20F83">
      <w:pPr>
        <w:spacing w:line="360" w:lineRule="auto"/>
        <w:ind w:firstLine="420" w:firstLineChars="200"/>
        <w:jc w:val="left"/>
        <w:rPr>
          <w:rFonts w:ascii="宋体" w:hAnsi="宋体" w:cs="宋体"/>
          <w:szCs w:val="21"/>
        </w:rPr>
      </w:pPr>
      <w:r>
        <w:rPr>
          <w:rFonts w:hint="eastAsia" w:ascii="宋体" w:hAnsi="宋体" w:cs="宋体"/>
          <w:szCs w:val="21"/>
        </w:rPr>
        <w:t>纳 税 人 识 别号：</w:t>
      </w:r>
      <w:r>
        <w:rPr>
          <w:rFonts w:hint="eastAsia" w:ascii="宋体" w:hAnsi="宋体" w:cs="宋体"/>
          <w:szCs w:val="21"/>
          <w:u w:val="single"/>
        </w:rPr>
        <w:t xml:space="preserve">320650W00000692     </w:t>
      </w:r>
    </w:p>
    <w:p w14:paraId="1447E67E">
      <w:pPr>
        <w:spacing w:line="360" w:lineRule="auto"/>
        <w:ind w:firstLine="420" w:firstLineChars="200"/>
        <w:jc w:val="left"/>
        <w:rPr>
          <w:rFonts w:ascii="宋体" w:hAnsi="宋体" w:cs="宋体"/>
          <w:szCs w:val="21"/>
        </w:rPr>
      </w:pPr>
      <w:r>
        <w:rPr>
          <w:rFonts w:hint="eastAsia" w:ascii="宋体" w:hAnsi="宋体" w:cs="宋体"/>
          <w:szCs w:val="21"/>
        </w:rPr>
        <w:t>乙          　方：</w:t>
      </w:r>
    </w:p>
    <w:p w14:paraId="0B51942F">
      <w:pPr>
        <w:spacing w:line="360" w:lineRule="auto"/>
        <w:ind w:firstLine="420" w:firstLineChars="200"/>
        <w:jc w:val="left"/>
        <w:rPr>
          <w:rFonts w:ascii="宋体" w:hAnsi="宋体" w:cs="宋体"/>
          <w:szCs w:val="21"/>
        </w:rPr>
      </w:pPr>
      <w:r>
        <w:rPr>
          <w:rFonts w:hint="eastAsia" w:ascii="宋体" w:hAnsi="宋体" w:cs="宋体"/>
          <w:szCs w:val="21"/>
        </w:rPr>
        <w:t>住     所     地：</w:t>
      </w:r>
    </w:p>
    <w:p w14:paraId="5D08D713">
      <w:pPr>
        <w:spacing w:line="360" w:lineRule="auto"/>
        <w:ind w:firstLine="420" w:firstLineChars="200"/>
        <w:jc w:val="left"/>
        <w:rPr>
          <w:rFonts w:ascii="宋体" w:hAnsi="宋体" w:cs="宋体"/>
          <w:szCs w:val="21"/>
        </w:rPr>
      </w:pPr>
      <w:r>
        <w:rPr>
          <w:rFonts w:hint="eastAsia" w:ascii="宋体" w:hAnsi="宋体" w:cs="宋体"/>
          <w:szCs w:val="21"/>
        </w:rPr>
        <w:t>统一社会信用代码：</w:t>
      </w:r>
    </w:p>
    <w:p w14:paraId="156196A8">
      <w:pPr>
        <w:spacing w:line="360" w:lineRule="auto"/>
        <w:ind w:firstLine="420" w:firstLineChars="200"/>
        <w:jc w:val="left"/>
        <w:rPr>
          <w:rFonts w:ascii="宋体" w:hAnsi="宋体" w:cs="宋体"/>
          <w:szCs w:val="21"/>
        </w:rPr>
      </w:pPr>
      <w:r>
        <w:rPr>
          <w:rFonts w:hint="eastAsia" w:ascii="宋体" w:hAnsi="宋体" w:cs="宋体"/>
          <w:szCs w:val="21"/>
        </w:rPr>
        <w:t xml:space="preserve">开   户   银  行： </w:t>
      </w:r>
    </w:p>
    <w:p w14:paraId="7FE5CC28">
      <w:pPr>
        <w:spacing w:line="360" w:lineRule="auto"/>
        <w:ind w:firstLine="420" w:firstLineChars="200"/>
        <w:jc w:val="left"/>
        <w:rPr>
          <w:rFonts w:ascii="宋体" w:hAnsi="宋体" w:cs="宋体"/>
          <w:szCs w:val="21"/>
          <w:u w:val="single"/>
        </w:rPr>
      </w:pPr>
      <w:r>
        <w:rPr>
          <w:rFonts w:hint="eastAsia" w:ascii="宋体" w:hAnsi="宋体" w:cs="宋体"/>
          <w:szCs w:val="21"/>
        </w:rPr>
        <w:t>银   行   帐  号：</w:t>
      </w:r>
    </w:p>
    <w:p w14:paraId="72FBBF5D">
      <w:pPr>
        <w:pStyle w:val="70"/>
        <w:spacing w:before="0" w:beforeAutospacing="0" w:after="0" w:afterAutospacing="0" w:line="360" w:lineRule="auto"/>
        <w:ind w:firstLine="420" w:firstLineChars="200"/>
        <w:rPr>
          <w:kern w:val="2"/>
          <w:sz w:val="21"/>
          <w:szCs w:val="21"/>
        </w:rPr>
      </w:pPr>
      <w:r>
        <w:rPr>
          <w:kern w:val="2"/>
          <w:sz w:val="21"/>
          <w:szCs w:val="21"/>
        </w:rPr>
        <w:t>经</w:t>
      </w:r>
      <w:r>
        <w:rPr>
          <w:rFonts w:hint="eastAsia"/>
          <w:kern w:val="2"/>
          <w:sz w:val="21"/>
          <w:szCs w:val="21"/>
        </w:rPr>
        <w:t>甲乙</w:t>
      </w:r>
      <w:r>
        <w:rPr>
          <w:kern w:val="2"/>
          <w:sz w:val="21"/>
          <w:szCs w:val="21"/>
        </w:rPr>
        <w:t>双方</w:t>
      </w:r>
      <w:r>
        <w:rPr>
          <w:rFonts w:hint="eastAsia"/>
          <w:kern w:val="2"/>
          <w:sz w:val="21"/>
          <w:szCs w:val="21"/>
        </w:rPr>
        <w:t>友好</w:t>
      </w:r>
      <w:r>
        <w:rPr>
          <w:kern w:val="2"/>
          <w:sz w:val="21"/>
          <w:szCs w:val="21"/>
        </w:rPr>
        <w:t>协商</w:t>
      </w:r>
      <w:r>
        <w:rPr>
          <w:rFonts w:hint="eastAsia"/>
          <w:kern w:val="2"/>
          <w:sz w:val="21"/>
          <w:szCs w:val="21"/>
        </w:rPr>
        <w:t>，本着平等互利的原则，签订本合同。</w:t>
      </w:r>
    </w:p>
    <w:p w14:paraId="6CF4740A">
      <w:pPr>
        <w:pStyle w:val="70"/>
        <w:spacing w:before="0" w:beforeAutospacing="0" w:after="0" w:afterAutospacing="0" w:line="360" w:lineRule="auto"/>
        <w:ind w:firstLine="420" w:firstLineChars="200"/>
        <w:rPr>
          <w:kern w:val="2"/>
          <w:sz w:val="21"/>
          <w:szCs w:val="21"/>
        </w:rPr>
      </w:pPr>
      <w:r>
        <w:rPr>
          <w:rFonts w:hint="eastAsia"/>
          <w:kern w:val="2"/>
          <w:sz w:val="21"/>
          <w:szCs w:val="21"/>
        </w:rPr>
        <w:t>第一条适用法律</w:t>
      </w:r>
    </w:p>
    <w:p w14:paraId="07F28E6B">
      <w:pPr>
        <w:pStyle w:val="70"/>
        <w:spacing w:before="0" w:beforeAutospacing="0" w:after="0" w:afterAutospacing="0" w:line="360" w:lineRule="auto"/>
        <w:ind w:firstLine="420" w:firstLineChars="200"/>
        <w:rPr>
          <w:kern w:val="2"/>
          <w:sz w:val="21"/>
          <w:szCs w:val="21"/>
        </w:rPr>
      </w:pPr>
      <w:r>
        <w:rPr>
          <w:rFonts w:hint="eastAsia"/>
          <w:kern w:val="2"/>
          <w:sz w:val="21"/>
          <w:szCs w:val="21"/>
        </w:rPr>
        <w:t>1，1本合同适用法律为:《中华人民共和国合同法》、《中华人民共和国著作权法》和《中华人民共和国计算机软件保护条例》等有关国家法律法规。</w:t>
      </w:r>
    </w:p>
    <w:p w14:paraId="24BC9872">
      <w:pPr>
        <w:pStyle w:val="70"/>
        <w:spacing w:before="0" w:beforeAutospacing="0" w:after="0" w:afterAutospacing="0" w:line="360" w:lineRule="auto"/>
        <w:ind w:firstLine="420" w:firstLineChars="200"/>
        <w:rPr>
          <w:kern w:val="2"/>
          <w:sz w:val="21"/>
          <w:szCs w:val="21"/>
        </w:rPr>
      </w:pPr>
      <w:r>
        <w:rPr>
          <w:rFonts w:hint="eastAsia"/>
          <w:kern w:val="2"/>
          <w:sz w:val="21"/>
          <w:szCs w:val="21"/>
        </w:rPr>
        <w:t>1，2合同文件时间有不一致时，以日期在后的文件为准。</w:t>
      </w:r>
    </w:p>
    <w:p w14:paraId="14DD35BA">
      <w:pPr>
        <w:pStyle w:val="70"/>
        <w:spacing w:before="0" w:beforeAutospacing="0" w:after="0" w:afterAutospacing="0" w:line="360" w:lineRule="auto"/>
        <w:ind w:firstLine="420" w:firstLineChars="200"/>
        <w:rPr>
          <w:kern w:val="2"/>
          <w:sz w:val="21"/>
          <w:szCs w:val="21"/>
        </w:rPr>
      </w:pPr>
      <w:r>
        <w:rPr>
          <w:rFonts w:hint="eastAsia"/>
          <w:kern w:val="2"/>
          <w:sz w:val="21"/>
          <w:szCs w:val="21"/>
        </w:rPr>
        <w:t>第二条合同范围</w:t>
      </w:r>
    </w:p>
    <w:p w14:paraId="2E928253">
      <w:pPr>
        <w:pStyle w:val="70"/>
        <w:spacing w:before="0" w:beforeAutospacing="0" w:after="0" w:afterAutospacing="0" w:line="360" w:lineRule="auto"/>
        <w:ind w:firstLine="420" w:firstLineChars="200"/>
        <w:rPr>
          <w:kern w:val="2"/>
          <w:sz w:val="21"/>
          <w:szCs w:val="21"/>
        </w:rPr>
      </w:pPr>
      <w:r>
        <w:rPr>
          <w:rFonts w:hint="eastAsia"/>
          <w:kern w:val="2"/>
          <w:sz w:val="21"/>
          <w:szCs w:val="21"/>
        </w:rPr>
        <w:t>2，1乙方负责为甲方提供_      涵盖的范围包括硬件与软件安装服务，软件开发、调试、培训、技术服务等工作</w:t>
      </w:r>
    </w:p>
    <w:p w14:paraId="108BD263">
      <w:pPr>
        <w:pStyle w:val="70"/>
        <w:spacing w:before="0" w:beforeAutospacing="0" w:after="0" w:afterAutospacing="0" w:line="360" w:lineRule="auto"/>
        <w:ind w:firstLine="420" w:firstLineChars="200"/>
        <w:rPr>
          <w:kern w:val="2"/>
          <w:sz w:val="21"/>
          <w:szCs w:val="21"/>
        </w:rPr>
      </w:pPr>
      <w:r>
        <w:rPr>
          <w:rFonts w:hint="eastAsia"/>
          <w:kern w:val="2"/>
          <w:sz w:val="21"/>
          <w:szCs w:val="21"/>
        </w:rPr>
        <w:t>2.2软件产品与系统软件，硬件具体内容及模块《见附页)</w:t>
      </w:r>
    </w:p>
    <w:p w14:paraId="4B321D8A">
      <w:pPr>
        <w:pStyle w:val="70"/>
        <w:spacing w:before="0" w:beforeAutospacing="0" w:after="0" w:afterAutospacing="0" w:line="360" w:lineRule="auto"/>
        <w:ind w:firstLine="420" w:firstLineChars="200"/>
        <w:rPr>
          <w:kern w:val="2"/>
          <w:sz w:val="21"/>
          <w:szCs w:val="21"/>
        </w:rPr>
      </w:pPr>
      <w:r>
        <w:rPr>
          <w:rFonts w:hint="eastAsia"/>
          <w:kern w:val="2"/>
          <w:sz w:val="21"/>
          <w:szCs w:val="21"/>
        </w:rPr>
        <w:t>第三条责任和任务</w:t>
      </w:r>
    </w:p>
    <w:p w14:paraId="677C61E6">
      <w:pPr>
        <w:pStyle w:val="70"/>
        <w:spacing w:before="0" w:beforeAutospacing="0" w:after="0" w:afterAutospacing="0" w:line="360" w:lineRule="auto"/>
        <w:ind w:firstLine="420" w:firstLineChars="200"/>
        <w:rPr>
          <w:kern w:val="2"/>
          <w:sz w:val="21"/>
          <w:szCs w:val="21"/>
        </w:rPr>
      </w:pPr>
      <w:r>
        <w:rPr>
          <w:rFonts w:hint="eastAsia"/>
          <w:kern w:val="2"/>
          <w:sz w:val="21"/>
          <w:szCs w:val="21"/>
        </w:rPr>
        <w:t>3.1双方共同责任</w:t>
      </w:r>
    </w:p>
    <w:p w14:paraId="611017E7">
      <w:pPr>
        <w:pStyle w:val="70"/>
        <w:spacing w:before="0" w:beforeAutospacing="0" w:after="0" w:afterAutospacing="0" w:line="360" w:lineRule="auto"/>
        <w:ind w:firstLine="420" w:firstLineChars="200"/>
        <w:rPr>
          <w:kern w:val="2"/>
          <w:sz w:val="21"/>
          <w:szCs w:val="21"/>
        </w:rPr>
      </w:pPr>
      <w:r>
        <w:rPr>
          <w:rFonts w:hint="eastAsia"/>
          <w:kern w:val="2"/>
          <w:sz w:val="21"/>
          <w:szCs w:val="21"/>
        </w:rPr>
        <w:t>严格根据本协议实施     (以下称本项目)的内容，并协商解决合作中出现的有争议的问题。</w:t>
      </w:r>
    </w:p>
    <w:p w14:paraId="47183FC1">
      <w:pPr>
        <w:pStyle w:val="70"/>
        <w:spacing w:before="0" w:beforeAutospacing="0" w:after="0" w:afterAutospacing="0" w:line="360" w:lineRule="auto"/>
        <w:ind w:firstLine="420" w:firstLineChars="200"/>
        <w:rPr>
          <w:kern w:val="2"/>
          <w:sz w:val="21"/>
          <w:szCs w:val="21"/>
        </w:rPr>
      </w:pPr>
      <w:r>
        <w:rPr>
          <w:rFonts w:hint="eastAsia"/>
          <w:kern w:val="2"/>
          <w:sz w:val="21"/>
          <w:szCs w:val="21"/>
        </w:rPr>
        <w:t>3，2甲方的责任和义务</w:t>
      </w:r>
    </w:p>
    <w:p w14:paraId="280FB91A">
      <w:pPr>
        <w:pStyle w:val="70"/>
        <w:spacing w:before="0" w:beforeAutospacing="0" w:after="0" w:afterAutospacing="0" w:line="360" w:lineRule="auto"/>
        <w:ind w:firstLine="420" w:firstLineChars="200"/>
        <w:rPr>
          <w:kern w:val="2"/>
          <w:sz w:val="21"/>
          <w:szCs w:val="21"/>
        </w:rPr>
      </w:pPr>
      <w:r>
        <w:rPr>
          <w:rFonts w:hint="eastAsia"/>
          <w:kern w:val="2"/>
          <w:sz w:val="21"/>
          <w:szCs w:val="21"/>
        </w:rPr>
        <w:t>3.2.1按本合同的付款条款支付所需款项。</w:t>
      </w:r>
    </w:p>
    <w:p w14:paraId="37F12DF7">
      <w:pPr>
        <w:pStyle w:val="70"/>
        <w:spacing w:before="0" w:beforeAutospacing="0" w:after="0" w:afterAutospacing="0" w:line="360" w:lineRule="auto"/>
        <w:ind w:firstLine="420" w:firstLineChars="200"/>
        <w:rPr>
          <w:kern w:val="2"/>
          <w:sz w:val="21"/>
          <w:szCs w:val="21"/>
        </w:rPr>
      </w:pPr>
      <w:r>
        <w:rPr>
          <w:rFonts w:hint="eastAsia"/>
          <w:kern w:val="2"/>
          <w:sz w:val="21"/>
          <w:szCs w:val="21"/>
        </w:rPr>
        <w:t>3.2.2负责项目中的领导、组织和协调工作。</w:t>
      </w:r>
    </w:p>
    <w:p w14:paraId="0003FC0A">
      <w:pPr>
        <w:pStyle w:val="70"/>
        <w:spacing w:before="0" w:beforeAutospacing="0" w:after="0" w:afterAutospacing="0" w:line="360" w:lineRule="auto"/>
        <w:ind w:firstLine="420" w:firstLineChars="200"/>
        <w:rPr>
          <w:kern w:val="2"/>
          <w:sz w:val="21"/>
          <w:szCs w:val="21"/>
        </w:rPr>
      </w:pPr>
      <w:r>
        <w:rPr>
          <w:rFonts w:hint="eastAsia"/>
          <w:kern w:val="2"/>
          <w:sz w:val="21"/>
          <w:szCs w:val="21"/>
        </w:rPr>
        <w:t>3.2.3提供场地、人员、相关设备，必要的文档资料和基础数据，协助乙方做好系统的实施工作，乙方软件适应本地运行环境的基本要求，甲方负责协调配合工作。</w:t>
      </w:r>
    </w:p>
    <w:p w14:paraId="76482F08">
      <w:pPr>
        <w:pStyle w:val="70"/>
        <w:spacing w:before="0" w:beforeAutospacing="0" w:after="0" w:afterAutospacing="0" w:line="360" w:lineRule="auto"/>
        <w:ind w:firstLine="420" w:firstLineChars="200"/>
        <w:rPr>
          <w:kern w:val="2"/>
          <w:sz w:val="21"/>
          <w:szCs w:val="21"/>
        </w:rPr>
      </w:pPr>
      <w:r>
        <w:rPr>
          <w:rFonts w:hint="eastAsia"/>
          <w:kern w:val="2"/>
          <w:sz w:val="21"/>
          <w:szCs w:val="21"/>
        </w:rPr>
        <w:t>3.2.4甲方应按月、周对乙方工程进行进度审核确认。乙方在工程开始实施后的每个月末及周末向甲方提交书面的进度确认申请,甲方应在收到确认申请之日起3个工作日内对工程进度予以确认，并向乙方出具书面的进度确认单。甲方未在规定时间内书面确认进度，以乙方提交的进度确认申请为准。</w:t>
      </w:r>
    </w:p>
    <w:p w14:paraId="548FABB8">
      <w:pPr>
        <w:pStyle w:val="70"/>
        <w:spacing w:before="0" w:beforeAutospacing="0" w:after="0" w:afterAutospacing="0" w:line="360" w:lineRule="auto"/>
        <w:ind w:firstLine="420" w:firstLineChars="200"/>
        <w:rPr>
          <w:kern w:val="2"/>
          <w:sz w:val="21"/>
          <w:szCs w:val="21"/>
        </w:rPr>
      </w:pPr>
      <w:r>
        <w:rPr>
          <w:rFonts w:hint="eastAsia"/>
          <w:kern w:val="2"/>
          <w:sz w:val="21"/>
          <w:szCs w:val="21"/>
        </w:rPr>
        <w:t>3.2.5甲方在软件使用过程中发现软件出现异常,应记录当前故障现象,并及时与乙方取得联系。便于乙方作出诊断。项目建设过程中，乙方须定期对系统数据做好各份工作，并妥善保管，如软件使用过程中出现软件异常，经甲方通知后，乙方应遵照合同条款及时进行运维工作。</w:t>
      </w:r>
    </w:p>
    <w:p w14:paraId="5CFFAEFF">
      <w:pPr>
        <w:pStyle w:val="70"/>
        <w:spacing w:before="0" w:beforeAutospacing="0" w:after="0" w:afterAutospacing="0" w:line="360" w:lineRule="auto"/>
        <w:ind w:firstLine="420" w:firstLineChars="200"/>
        <w:rPr>
          <w:kern w:val="2"/>
          <w:sz w:val="21"/>
          <w:szCs w:val="21"/>
        </w:rPr>
      </w:pPr>
      <w:r>
        <w:rPr>
          <w:rFonts w:hint="eastAsia"/>
          <w:kern w:val="2"/>
          <w:sz w:val="21"/>
          <w:szCs w:val="21"/>
        </w:rPr>
        <w:t>3.2.6甲方可聘请监理机构对乙方工作进行监督，且经甲方同意后，在项目建设过程中，监理机构可代为行使甲方权利。</w:t>
      </w:r>
    </w:p>
    <w:p w14:paraId="3510A92E">
      <w:pPr>
        <w:pStyle w:val="70"/>
        <w:spacing w:before="0" w:beforeAutospacing="0" w:after="0" w:afterAutospacing="0" w:line="360" w:lineRule="auto"/>
        <w:ind w:firstLine="420" w:firstLineChars="200"/>
        <w:rPr>
          <w:kern w:val="2"/>
          <w:sz w:val="21"/>
          <w:szCs w:val="21"/>
        </w:rPr>
      </w:pPr>
      <w:r>
        <w:rPr>
          <w:rFonts w:hint="eastAsia"/>
          <w:kern w:val="2"/>
          <w:sz w:val="21"/>
          <w:szCs w:val="21"/>
        </w:rPr>
        <w:t>3，3乙方的责任和义务</w:t>
      </w:r>
    </w:p>
    <w:p w14:paraId="74CA0BC2">
      <w:pPr>
        <w:pStyle w:val="70"/>
        <w:spacing w:before="0" w:beforeAutospacing="0" w:after="0" w:afterAutospacing="0" w:line="360" w:lineRule="auto"/>
        <w:ind w:firstLine="420" w:firstLineChars="200"/>
        <w:rPr>
          <w:kern w:val="2"/>
          <w:sz w:val="21"/>
          <w:szCs w:val="21"/>
        </w:rPr>
      </w:pPr>
      <w:r>
        <w:rPr>
          <w:rFonts w:hint="eastAsia"/>
          <w:kern w:val="2"/>
          <w:sz w:val="21"/>
          <w:szCs w:val="21"/>
        </w:rPr>
        <w:t>3.3.1按照本合同所规定的时间内完成本合同项下的软件(模块)开发、测试、安装调试和操作培训服务，向甲方递交验收申请，由甲方组织相应人员组成验收小组进行验收。</w:t>
      </w:r>
    </w:p>
    <w:p w14:paraId="074E5774">
      <w:pPr>
        <w:pStyle w:val="70"/>
        <w:spacing w:before="0" w:beforeAutospacing="0" w:after="0" w:afterAutospacing="0" w:line="360" w:lineRule="auto"/>
        <w:ind w:firstLine="420" w:firstLineChars="200"/>
        <w:rPr>
          <w:kern w:val="2"/>
          <w:sz w:val="21"/>
          <w:szCs w:val="21"/>
        </w:rPr>
      </w:pPr>
      <w:r>
        <w:rPr>
          <w:rFonts w:hint="eastAsia"/>
          <w:kern w:val="2"/>
          <w:sz w:val="21"/>
          <w:szCs w:val="21"/>
        </w:rPr>
        <w:t>3.3.2根据合同的约定对       系统进行维护服务和技术支持。</w:t>
      </w:r>
    </w:p>
    <w:p w14:paraId="631F21F8">
      <w:pPr>
        <w:pStyle w:val="70"/>
        <w:spacing w:before="0" w:beforeAutospacing="0" w:after="0" w:afterAutospacing="0" w:line="360" w:lineRule="auto"/>
        <w:ind w:firstLine="420" w:firstLineChars="200"/>
        <w:rPr>
          <w:kern w:val="2"/>
          <w:sz w:val="21"/>
          <w:szCs w:val="21"/>
        </w:rPr>
      </w:pPr>
      <w:r>
        <w:rPr>
          <w:rFonts w:hint="eastAsia"/>
          <w:kern w:val="2"/>
          <w:sz w:val="21"/>
          <w:szCs w:val="21"/>
        </w:rPr>
        <w:t>3.3.3向甲方提供与建设内容相应的，并与软件使用功能相一致的技术文档资料(《操作手册》)向甲方提供建设过程中应当存在的所有文档资料(包括但不限于《操作手册》、《培训手册》、《编码规范》等。</w:t>
      </w:r>
    </w:p>
    <w:p w14:paraId="5EB29164">
      <w:pPr>
        <w:pStyle w:val="70"/>
        <w:spacing w:before="0" w:beforeAutospacing="0" w:after="0" w:afterAutospacing="0" w:line="360" w:lineRule="auto"/>
        <w:ind w:firstLine="420" w:firstLineChars="200"/>
        <w:rPr>
          <w:kern w:val="2"/>
          <w:sz w:val="21"/>
          <w:szCs w:val="21"/>
        </w:rPr>
      </w:pPr>
      <w:r>
        <w:rPr>
          <w:rFonts w:hint="eastAsia"/>
          <w:kern w:val="2"/>
          <w:sz w:val="21"/>
          <w:szCs w:val="21"/>
        </w:rPr>
        <w:t>3.3.4合同签订后    天内，乙方派软件及硬件施工人员进驻施工现场。</w:t>
      </w:r>
    </w:p>
    <w:p w14:paraId="6F865F26">
      <w:pPr>
        <w:pStyle w:val="70"/>
        <w:spacing w:before="0" w:beforeAutospacing="0" w:after="0" w:afterAutospacing="0" w:line="360" w:lineRule="auto"/>
        <w:ind w:firstLine="420" w:firstLineChars="200"/>
        <w:rPr>
          <w:kern w:val="2"/>
          <w:sz w:val="21"/>
          <w:szCs w:val="21"/>
        </w:rPr>
      </w:pPr>
      <w:r>
        <w:rPr>
          <w:rFonts w:hint="eastAsia"/>
          <w:kern w:val="2"/>
          <w:sz w:val="21"/>
          <w:szCs w:val="21"/>
        </w:rPr>
        <w:t>第四条版权</w:t>
      </w:r>
    </w:p>
    <w:p w14:paraId="5FF05FDA">
      <w:pPr>
        <w:pStyle w:val="70"/>
        <w:spacing w:before="0" w:beforeAutospacing="0" w:after="0" w:afterAutospacing="0" w:line="360" w:lineRule="auto"/>
        <w:ind w:firstLine="420" w:firstLineChars="200"/>
        <w:rPr>
          <w:kern w:val="2"/>
          <w:sz w:val="21"/>
          <w:szCs w:val="21"/>
        </w:rPr>
      </w:pPr>
      <w:r>
        <w:rPr>
          <w:rFonts w:hint="eastAsia"/>
          <w:kern w:val="2"/>
          <w:sz w:val="21"/>
          <w:szCs w:val="21"/>
        </w:rPr>
        <w:t>4.1甲方拥有合同条款约定的软硬件系统的所有权和使用权。</w:t>
      </w:r>
    </w:p>
    <w:p w14:paraId="467EA042">
      <w:pPr>
        <w:pStyle w:val="70"/>
        <w:spacing w:before="0" w:beforeAutospacing="0" w:after="0" w:afterAutospacing="0" w:line="360" w:lineRule="auto"/>
        <w:ind w:firstLine="420" w:firstLineChars="200"/>
        <w:rPr>
          <w:kern w:val="2"/>
          <w:sz w:val="21"/>
          <w:szCs w:val="21"/>
        </w:rPr>
      </w:pPr>
      <w:r>
        <w:rPr>
          <w:rFonts w:hint="eastAsia"/>
          <w:kern w:val="2"/>
          <w:sz w:val="21"/>
          <w:szCs w:val="21"/>
        </w:rPr>
        <w:t>4.2乙方保证甲方在使用本合同项下所涉及的产品或产品任何一部分时免受第三方提出的侵犯其专利权、商标权、著作权或其它知识产权等所引起的一切索赔和诉讼。如果发生第三方就乙方向甲方提供的本合同项下所涉及的产品及服务对甲方进行侵权指控，乙方应承担由此而引起的一切经济和法律责任。</w:t>
      </w:r>
    </w:p>
    <w:p w14:paraId="3CFB5428">
      <w:pPr>
        <w:pStyle w:val="70"/>
        <w:spacing w:before="0" w:beforeAutospacing="0" w:after="0" w:afterAutospacing="0" w:line="360" w:lineRule="auto"/>
        <w:ind w:firstLine="420" w:firstLineChars="200"/>
        <w:rPr>
          <w:kern w:val="2"/>
          <w:sz w:val="21"/>
          <w:szCs w:val="21"/>
        </w:rPr>
      </w:pPr>
      <w:r>
        <w:rPr>
          <w:rFonts w:hint="eastAsia"/>
          <w:kern w:val="2"/>
          <w:sz w:val="21"/>
          <w:szCs w:val="21"/>
        </w:rPr>
        <w:t>第五条软件产品要求</w:t>
      </w:r>
    </w:p>
    <w:p w14:paraId="210A13D3">
      <w:pPr>
        <w:pStyle w:val="70"/>
        <w:spacing w:before="0" w:beforeAutospacing="0" w:after="0" w:afterAutospacing="0" w:line="360" w:lineRule="auto"/>
        <w:ind w:firstLine="420" w:firstLineChars="200"/>
        <w:rPr>
          <w:kern w:val="2"/>
          <w:sz w:val="21"/>
          <w:szCs w:val="21"/>
        </w:rPr>
      </w:pPr>
      <w:r>
        <w:rPr>
          <w:rFonts w:hint="eastAsia"/>
          <w:kern w:val="2"/>
          <w:sz w:val="21"/>
          <w:szCs w:val="21"/>
        </w:rPr>
        <w:t>5.1软件应充分考虑到今后的扩充和升级,应具有良好的开放性和可扩充性。</w:t>
      </w:r>
    </w:p>
    <w:p w14:paraId="5B40CA17">
      <w:pPr>
        <w:pStyle w:val="70"/>
        <w:spacing w:before="0" w:beforeAutospacing="0" w:after="0" w:afterAutospacing="0" w:line="360" w:lineRule="auto"/>
        <w:ind w:firstLine="420" w:firstLineChars="200"/>
        <w:rPr>
          <w:kern w:val="2"/>
          <w:sz w:val="21"/>
          <w:szCs w:val="21"/>
        </w:rPr>
      </w:pPr>
      <w:r>
        <w:rPr>
          <w:rFonts w:hint="eastAsia"/>
          <w:kern w:val="2"/>
          <w:sz w:val="21"/>
          <w:szCs w:val="21"/>
        </w:rPr>
        <w:t>5.2软件应具有可靠的安全和保密机制，确保数据完整、安全和不被非法用户登录(病毒、黑客入侵的除外)。</w:t>
      </w:r>
    </w:p>
    <w:p w14:paraId="02EEEC86">
      <w:pPr>
        <w:pStyle w:val="70"/>
        <w:spacing w:before="0" w:beforeAutospacing="0" w:after="0" w:afterAutospacing="0" w:line="360" w:lineRule="auto"/>
        <w:ind w:firstLine="420" w:firstLineChars="200"/>
        <w:rPr>
          <w:kern w:val="2"/>
          <w:sz w:val="21"/>
          <w:szCs w:val="21"/>
        </w:rPr>
      </w:pPr>
      <w:r>
        <w:rPr>
          <w:rFonts w:hint="eastAsia"/>
          <w:kern w:val="2"/>
          <w:sz w:val="21"/>
          <w:szCs w:val="21"/>
        </w:rPr>
        <w:t>第六条交付计划</w:t>
      </w:r>
    </w:p>
    <w:p w14:paraId="672CC9FD">
      <w:pPr>
        <w:pStyle w:val="70"/>
        <w:spacing w:before="0" w:beforeAutospacing="0" w:after="0" w:afterAutospacing="0" w:line="360" w:lineRule="auto"/>
        <w:ind w:firstLine="420" w:firstLineChars="200"/>
        <w:rPr>
          <w:kern w:val="2"/>
          <w:sz w:val="21"/>
          <w:szCs w:val="21"/>
        </w:rPr>
      </w:pPr>
      <w:r>
        <w:rPr>
          <w:rFonts w:hint="eastAsia"/>
          <w:kern w:val="2"/>
          <w:sz w:val="21"/>
          <w:szCs w:val="21"/>
        </w:rPr>
        <w:t>6.1交付工期:</w:t>
      </w:r>
    </w:p>
    <w:p w14:paraId="09C20366">
      <w:pPr>
        <w:pStyle w:val="70"/>
        <w:spacing w:before="0" w:beforeAutospacing="0" w:after="0" w:afterAutospacing="0" w:line="360" w:lineRule="auto"/>
        <w:ind w:firstLine="420" w:firstLineChars="200"/>
        <w:rPr>
          <w:kern w:val="2"/>
          <w:sz w:val="21"/>
          <w:szCs w:val="21"/>
        </w:rPr>
      </w:pPr>
      <w:r>
        <w:rPr>
          <w:rFonts w:hint="eastAsia"/>
          <w:kern w:val="2"/>
          <w:sz w:val="21"/>
          <w:szCs w:val="21"/>
        </w:rPr>
        <w:t>6.2若因甲方原因或不可抗力导致乙方工作暂停的，乙方不承担责任，暂停时间不计入上述计划期限内，具体时间由双方另行友好协商。</w:t>
      </w:r>
    </w:p>
    <w:p w14:paraId="5D3A35EC">
      <w:pPr>
        <w:pStyle w:val="70"/>
        <w:spacing w:before="0" w:beforeAutospacing="0" w:after="0" w:afterAutospacing="0" w:line="360" w:lineRule="auto"/>
        <w:ind w:firstLine="420" w:firstLineChars="200"/>
        <w:rPr>
          <w:kern w:val="2"/>
          <w:sz w:val="21"/>
          <w:szCs w:val="21"/>
        </w:rPr>
      </w:pPr>
      <w:r>
        <w:rPr>
          <w:rFonts w:hint="eastAsia"/>
          <w:kern w:val="2"/>
          <w:sz w:val="21"/>
          <w:szCs w:val="21"/>
        </w:rPr>
        <w:t>6.3因乙方原因导致本项目建设不能按期交付的，乙方应承担相应责任。</w:t>
      </w:r>
    </w:p>
    <w:p w14:paraId="246FD5FA">
      <w:pPr>
        <w:pStyle w:val="70"/>
        <w:spacing w:before="0" w:beforeAutospacing="0" w:after="0" w:afterAutospacing="0" w:line="360" w:lineRule="auto"/>
        <w:ind w:firstLine="420" w:firstLineChars="200"/>
        <w:rPr>
          <w:kern w:val="2"/>
          <w:sz w:val="21"/>
          <w:szCs w:val="21"/>
        </w:rPr>
      </w:pPr>
      <w:r>
        <w:rPr>
          <w:rFonts w:hint="eastAsia"/>
          <w:kern w:val="2"/>
          <w:sz w:val="21"/>
          <w:szCs w:val="21"/>
        </w:rPr>
        <w:t>第七条费用及支付方式</w:t>
      </w:r>
    </w:p>
    <w:p w14:paraId="63646222">
      <w:pPr>
        <w:pStyle w:val="70"/>
        <w:spacing w:before="0" w:beforeAutospacing="0" w:after="0" w:afterAutospacing="0" w:line="360" w:lineRule="auto"/>
        <w:ind w:firstLine="420" w:firstLineChars="200"/>
        <w:rPr>
          <w:kern w:val="2"/>
          <w:sz w:val="21"/>
          <w:szCs w:val="21"/>
        </w:rPr>
      </w:pPr>
      <w:r>
        <w:rPr>
          <w:rFonts w:hint="eastAsia"/>
          <w:kern w:val="2"/>
          <w:sz w:val="21"/>
          <w:szCs w:val="21"/>
        </w:rPr>
        <w:t>7.1费用</w:t>
      </w:r>
    </w:p>
    <w:p w14:paraId="0702FBB9">
      <w:pPr>
        <w:pStyle w:val="70"/>
        <w:spacing w:before="0" w:beforeAutospacing="0" w:after="0" w:afterAutospacing="0" w:line="360" w:lineRule="auto"/>
        <w:ind w:firstLine="420" w:firstLineChars="200"/>
        <w:rPr>
          <w:kern w:val="2"/>
          <w:sz w:val="21"/>
          <w:szCs w:val="21"/>
        </w:rPr>
      </w:pPr>
      <w:r>
        <w:rPr>
          <w:rFonts w:hint="eastAsia"/>
          <w:kern w:val="2"/>
          <w:sz w:val="21"/>
          <w:szCs w:val="21"/>
        </w:rPr>
        <w:t>7.1.1本合同所述价格均为人民币含税价。</w:t>
      </w:r>
    </w:p>
    <w:p w14:paraId="74A1B4B5">
      <w:pPr>
        <w:pStyle w:val="70"/>
        <w:spacing w:before="0" w:beforeAutospacing="0" w:after="0" w:afterAutospacing="0" w:line="360" w:lineRule="auto"/>
        <w:ind w:firstLine="420" w:firstLineChars="200"/>
        <w:rPr>
          <w:kern w:val="2"/>
          <w:sz w:val="21"/>
          <w:szCs w:val="21"/>
        </w:rPr>
      </w:pPr>
      <w:r>
        <w:rPr>
          <w:rFonts w:hint="eastAsia"/>
          <w:kern w:val="2"/>
          <w:sz w:val="21"/>
          <w:szCs w:val="21"/>
        </w:rPr>
        <w:t>7.1.2本合同金额总计为人民币</w:t>
      </w:r>
    </w:p>
    <w:p w14:paraId="601796F2">
      <w:pPr>
        <w:pStyle w:val="70"/>
        <w:spacing w:before="0" w:beforeAutospacing="0" w:after="0" w:afterAutospacing="0" w:line="360" w:lineRule="auto"/>
        <w:ind w:firstLine="420" w:firstLineChars="200"/>
        <w:rPr>
          <w:kern w:val="2"/>
          <w:sz w:val="21"/>
          <w:szCs w:val="21"/>
        </w:rPr>
      </w:pPr>
      <w:r>
        <w:rPr>
          <w:rFonts w:hint="eastAsia"/>
          <w:kern w:val="2"/>
          <w:sz w:val="21"/>
          <w:szCs w:val="21"/>
        </w:rPr>
        <w:t>7.2支付方式：</w:t>
      </w:r>
    </w:p>
    <w:p w14:paraId="1B0C2A0B">
      <w:pPr>
        <w:pStyle w:val="70"/>
        <w:spacing w:before="0" w:beforeAutospacing="0" w:after="0" w:afterAutospacing="0" w:line="360" w:lineRule="auto"/>
        <w:ind w:firstLine="420" w:firstLineChars="200"/>
        <w:rPr>
          <w:kern w:val="2"/>
          <w:sz w:val="21"/>
          <w:szCs w:val="21"/>
        </w:rPr>
      </w:pPr>
      <w:r>
        <w:rPr>
          <w:rFonts w:hint="eastAsia"/>
          <w:kern w:val="2"/>
          <w:sz w:val="21"/>
          <w:szCs w:val="21"/>
        </w:rPr>
        <w:t xml:space="preserve"> 质保期一年，质保期内系统软件及硬件设备正常运行时间应大于等于350天。质保期结束后两周内，由甲方支付乙方，乙方开具相应金额增值税发票。</w:t>
      </w:r>
    </w:p>
    <w:p w14:paraId="7E33851F">
      <w:pPr>
        <w:pStyle w:val="70"/>
        <w:spacing w:before="0" w:beforeAutospacing="0" w:after="0" w:afterAutospacing="0" w:line="360" w:lineRule="auto"/>
        <w:ind w:firstLine="420" w:firstLineChars="200"/>
        <w:rPr>
          <w:kern w:val="2"/>
          <w:sz w:val="21"/>
          <w:szCs w:val="21"/>
        </w:rPr>
      </w:pPr>
      <w:r>
        <w:rPr>
          <w:rFonts w:hint="eastAsia"/>
          <w:kern w:val="2"/>
          <w:sz w:val="21"/>
          <w:szCs w:val="21"/>
        </w:rPr>
        <w:t>第八条质量保证，服务及验收承诺</w:t>
      </w:r>
    </w:p>
    <w:p w14:paraId="6D669D41">
      <w:pPr>
        <w:pStyle w:val="70"/>
        <w:spacing w:before="0" w:beforeAutospacing="0" w:after="0" w:afterAutospacing="0" w:line="360" w:lineRule="auto"/>
        <w:ind w:firstLine="420" w:firstLineChars="200"/>
        <w:rPr>
          <w:kern w:val="2"/>
          <w:sz w:val="21"/>
          <w:szCs w:val="21"/>
        </w:rPr>
      </w:pPr>
      <w:r>
        <w:rPr>
          <w:rFonts w:hint="eastAsia"/>
          <w:kern w:val="2"/>
          <w:sz w:val="21"/>
          <w:szCs w:val="21"/>
        </w:rPr>
        <w:t>8.1项目实施要求项日严格按照PDCA循环法，使计划、实施、检查、处理四个阶段紧密相扣，计划阶段，项目管理小组成员应该能对项目进行全面的规划和涉及，在项目实施之前，设定有效的项目管理方案，并应得到甲乙双方共同讨论通过，实施阶段，根据项目计划进行具体实施，对突发性问题予以及时有效的解决，控制项目进度，并及时汇报甲方，检查阶段，项目管理小组成员应该再实施过程中及时与计划方案进行比对，找出执行的不足与失误，及时修正，确保实施效果符合预设要求:处理阶段，应该总结经验，为下一段的实施做好铺垫和准备。</w:t>
      </w:r>
    </w:p>
    <w:p w14:paraId="576A9122">
      <w:pPr>
        <w:pStyle w:val="70"/>
        <w:spacing w:before="0" w:beforeAutospacing="0" w:after="0" w:afterAutospacing="0" w:line="360" w:lineRule="auto"/>
        <w:ind w:firstLine="420" w:firstLineChars="200"/>
        <w:rPr>
          <w:kern w:val="2"/>
          <w:sz w:val="21"/>
          <w:szCs w:val="21"/>
        </w:rPr>
      </w:pPr>
      <w:r>
        <w:rPr>
          <w:rFonts w:hint="eastAsia"/>
          <w:kern w:val="2"/>
          <w:sz w:val="21"/>
          <w:szCs w:val="21"/>
        </w:rPr>
        <w:t>8.2乙方项目小组实施要求项目组人员《包括公司项目组长、研发人员、实施人员等，说明项目组人员资质及参与项目案例情况)、相关人员分工职责、分项工作及进度安排(包括配套系统改造，环境改造、硬件支持等)，项目工作机制等内容。详见投标文件。</w:t>
      </w:r>
    </w:p>
    <w:p w14:paraId="13879157">
      <w:pPr>
        <w:pStyle w:val="70"/>
        <w:spacing w:before="0" w:beforeAutospacing="0" w:after="0" w:afterAutospacing="0" w:line="360" w:lineRule="auto"/>
        <w:ind w:firstLine="420" w:firstLineChars="200"/>
        <w:rPr>
          <w:kern w:val="2"/>
          <w:sz w:val="21"/>
          <w:szCs w:val="21"/>
        </w:rPr>
      </w:pPr>
      <w:r>
        <w:rPr>
          <w:rFonts w:hint="eastAsia"/>
          <w:kern w:val="2"/>
          <w:sz w:val="21"/>
          <w:szCs w:val="21"/>
        </w:rPr>
        <w:t xml:space="preserve">    项目小组应提供项目进度计划，预计完成时间，项日计划必须包含系统测试阶段，重大结点应由项目负责人确认进度签字。</w:t>
      </w:r>
    </w:p>
    <w:p w14:paraId="14E00F4F">
      <w:pPr>
        <w:pStyle w:val="70"/>
        <w:spacing w:before="0" w:beforeAutospacing="0" w:after="0" w:afterAutospacing="0" w:line="360" w:lineRule="auto"/>
        <w:ind w:firstLine="420" w:firstLineChars="200"/>
        <w:rPr>
          <w:kern w:val="2"/>
          <w:sz w:val="21"/>
          <w:szCs w:val="21"/>
        </w:rPr>
      </w:pPr>
      <w:r>
        <w:rPr>
          <w:rFonts w:hint="eastAsia"/>
          <w:kern w:val="2"/>
          <w:sz w:val="21"/>
          <w:szCs w:val="21"/>
        </w:rPr>
        <w:t>项目小组每周工作形成周报交指定用户方项目负责人。</w:t>
      </w:r>
    </w:p>
    <w:p w14:paraId="751D43B1">
      <w:pPr>
        <w:pStyle w:val="70"/>
        <w:spacing w:before="0" w:beforeAutospacing="0" w:after="0" w:afterAutospacing="0" w:line="360" w:lineRule="auto"/>
        <w:ind w:firstLine="420" w:firstLineChars="200"/>
        <w:rPr>
          <w:kern w:val="2"/>
          <w:sz w:val="21"/>
          <w:szCs w:val="21"/>
        </w:rPr>
      </w:pPr>
      <w:r>
        <w:rPr>
          <w:rFonts w:hint="eastAsia"/>
          <w:kern w:val="2"/>
          <w:sz w:val="21"/>
          <w:szCs w:val="21"/>
        </w:rPr>
        <w:t>8.3系统测试</w:t>
      </w:r>
    </w:p>
    <w:p w14:paraId="293087D9">
      <w:pPr>
        <w:pStyle w:val="70"/>
        <w:spacing w:before="0" w:beforeAutospacing="0" w:after="0" w:afterAutospacing="0" w:line="360" w:lineRule="auto"/>
        <w:ind w:firstLine="420" w:firstLineChars="200"/>
        <w:rPr>
          <w:kern w:val="2"/>
          <w:sz w:val="21"/>
          <w:szCs w:val="21"/>
        </w:rPr>
      </w:pPr>
      <w:r>
        <w:rPr>
          <w:rFonts w:hint="eastAsia"/>
          <w:kern w:val="2"/>
          <w:sz w:val="21"/>
          <w:szCs w:val="21"/>
        </w:rPr>
        <w:t>系统正式上线前，至少提前一周应完成所有内部测试工作。由乙方提供测试方案，甲乙双方人员组成项日测试小组，按照测试方案进行系统测试并形成记录（提供测试视频）。系统上线前，乙方须提交服务器的安装及配置文档，明确硬件配置要求及说明。</w:t>
      </w:r>
    </w:p>
    <w:p w14:paraId="6CC49B13">
      <w:pPr>
        <w:pStyle w:val="70"/>
        <w:spacing w:before="0" w:beforeAutospacing="0" w:after="0" w:afterAutospacing="0" w:line="360" w:lineRule="auto"/>
        <w:ind w:firstLine="420" w:firstLineChars="200"/>
        <w:rPr>
          <w:kern w:val="2"/>
          <w:sz w:val="21"/>
          <w:szCs w:val="21"/>
        </w:rPr>
      </w:pPr>
      <w:r>
        <w:rPr>
          <w:rFonts w:hint="eastAsia"/>
          <w:kern w:val="2"/>
          <w:sz w:val="21"/>
          <w:szCs w:val="21"/>
        </w:rPr>
        <w:t>软件参数配置文档，重点给出数据库访问用户密码配置说明。除操作系统外的所有软件安装程序及安装方法、使用说明，建设内容如有变更双方出具说明签订变更协议。</w:t>
      </w:r>
    </w:p>
    <w:p w14:paraId="71BB7F13">
      <w:pPr>
        <w:pStyle w:val="70"/>
        <w:spacing w:before="0" w:beforeAutospacing="0" w:after="0" w:afterAutospacing="0" w:line="360" w:lineRule="auto"/>
        <w:ind w:firstLine="420" w:firstLineChars="200"/>
        <w:rPr>
          <w:kern w:val="2"/>
          <w:sz w:val="21"/>
          <w:szCs w:val="21"/>
        </w:rPr>
      </w:pPr>
      <w:r>
        <w:rPr>
          <w:rFonts w:hint="eastAsia"/>
          <w:kern w:val="2"/>
          <w:sz w:val="21"/>
          <w:szCs w:val="21"/>
        </w:rPr>
        <w:t>乙方保证本项目最终安装交付运行的软件均为上线时乙方最新确定版本。</w:t>
      </w:r>
    </w:p>
    <w:p w14:paraId="51B94B12">
      <w:pPr>
        <w:pStyle w:val="70"/>
        <w:spacing w:before="0" w:beforeAutospacing="0" w:after="0" w:afterAutospacing="0" w:line="360" w:lineRule="auto"/>
        <w:ind w:firstLine="420" w:firstLineChars="200"/>
        <w:rPr>
          <w:kern w:val="2"/>
          <w:sz w:val="21"/>
          <w:szCs w:val="21"/>
        </w:rPr>
      </w:pPr>
      <w:r>
        <w:rPr>
          <w:rFonts w:hint="eastAsia"/>
          <w:kern w:val="2"/>
          <w:sz w:val="21"/>
          <w:szCs w:val="21"/>
        </w:rPr>
        <w:t>8.4验收要求</w:t>
      </w:r>
    </w:p>
    <w:p w14:paraId="73D5B30A">
      <w:pPr>
        <w:pStyle w:val="70"/>
        <w:spacing w:before="0" w:beforeAutospacing="0" w:after="0" w:afterAutospacing="0" w:line="360" w:lineRule="auto"/>
        <w:ind w:firstLine="420" w:firstLineChars="200"/>
        <w:rPr>
          <w:kern w:val="2"/>
          <w:sz w:val="21"/>
          <w:szCs w:val="21"/>
        </w:rPr>
      </w:pPr>
      <w:r>
        <w:rPr>
          <w:rFonts w:hint="eastAsia"/>
          <w:kern w:val="2"/>
          <w:sz w:val="21"/>
          <w:szCs w:val="21"/>
        </w:rPr>
        <w:t>8.4.1验收方法。验收严格按照甲方与乙方商定的实施计划，进行验收。</w:t>
      </w:r>
    </w:p>
    <w:p w14:paraId="5B298AAC">
      <w:pPr>
        <w:pStyle w:val="70"/>
        <w:spacing w:before="0" w:beforeAutospacing="0" w:after="0" w:afterAutospacing="0" w:line="360" w:lineRule="auto"/>
        <w:ind w:firstLine="420" w:firstLineChars="200"/>
        <w:rPr>
          <w:kern w:val="2"/>
          <w:sz w:val="21"/>
          <w:szCs w:val="21"/>
        </w:rPr>
      </w:pPr>
      <w:r>
        <w:rPr>
          <w:rFonts w:hint="eastAsia"/>
          <w:kern w:val="2"/>
          <w:sz w:val="21"/>
          <w:szCs w:val="21"/>
        </w:rPr>
        <w:t>8.4.2验收时间:</w:t>
      </w:r>
    </w:p>
    <w:p w14:paraId="5EB2EB61">
      <w:pPr>
        <w:pStyle w:val="70"/>
        <w:spacing w:before="0" w:beforeAutospacing="0" w:after="0" w:afterAutospacing="0" w:line="360" w:lineRule="auto"/>
        <w:ind w:firstLine="420" w:firstLineChars="200"/>
        <w:rPr>
          <w:kern w:val="2"/>
          <w:sz w:val="21"/>
          <w:szCs w:val="21"/>
        </w:rPr>
      </w:pPr>
      <w:r>
        <w:rPr>
          <w:rFonts w:hint="eastAsia"/>
          <w:kern w:val="2"/>
          <w:sz w:val="21"/>
          <w:szCs w:val="21"/>
        </w:rPr>
        <w:t>(1)配套系统软件和硬件设备安装、调试完毕、连续试运行2个月未发生任何因系统软件或硬件设备引起的运行故障，软件上线并稳定运行两个月后一周内,资料齐全，乙方可向甲方书面申请验收,由甲方在收到申请后组织验收。</w:t>
      </w:r>
    </w:p>
    <w:p w14:paraId="4D1A1AFE">
      <w:pPr>
        <w:pStyle w:val="70"/>
        <w:spacing w:before="0" w:beforeAutospacing="0" w:after="0" w:afterAutospacing="0" w:line="360" w:lineRule="auto"/>
        <w:ind w:firstLine="420" w:firstLineChars="200"/>
        <w:rPr>
          <w:kern w:val="2"/>
          <w:sz w:val="21"/>
          <w:szCs w:val="21"/>
        </w:rPr>
      </w:pPr>
      <w:r>
        <w:rPr>
          <w:rFonts w:hint="eastAsia"/>
          <w:kern w:val="2"/>
          <w:sz w:val="21"/>
          <w:szCs w:val="21"/>
        </w:rPr>
        <w:t>(2)软件项目阶段验收。软件上线成功、软件功能完全满足使用用户功能需求并连续无故障运行两个月后的一周内，资料齐全，乙方可向甲方书面中请验收，由甲方在收到申请后组织验收，逾期视为验收合格。验收通过后填写阶段验收确认单。全部模块验收完成后，进行项目整体性验收，以确保项目软件模块连通性。</w:t>
      </w:r>
    </w:p>
    <w:p w14:paraId="638861B6">
      <w:pPr>
        <w:pStyle w:val="70"/>
        <w:spacing w:before="0" w:beforeAutospacing="0" w:after="0" w:afterAutospacing="0" w:line="360" w:lineRule="auto"/>
        <w:ind w:firstLine="420" w:firstLineChars="200"/>
        <w:rPr>
          <w:kern w:val="2"/>
          <w:sz w:val="21"/>
          <w:szCs w:val="21"/>
        </w:rPr>
      </w:pPr>
      <w:r>
        <w:rPr>
          <w:rFonts w:hint="eastAsia"/>
          <w:kern w:val="2"/>
          <w:sz w:val="21"/>
          <w:szCs w:val="21"/>
        </w:rPr>
        <w:t>8.4.3验收内容:</w:t>
      </w:r>
    </w:p>
    <w:p w14:paraId="04CADC4F">
      <w:pPr>
        <w:pStyle w:val="70"/>
        <w:spacing w:before="0" w:beforeAutospacing="0" w:after="0" w:afterAutospacing="0" w:line="360" w:lineRule="auto"/>
        <w:ind w:firstLine="420" w:firstLineChars="200"/>
        <w:rPr>
          <w:kern w:val="2"/>
          <w:sz w:val="21"/>
          <w:szCs w:val="21"/>
        </w:rPr>
      </w:pPr>
      <w:r>
        <w:rPr>
          <w:rFonts w:hint="eastAsia"/>
          <w:kern w:val="2"/>
          <w:sz w:val="21"/>
          <w:szCs w:val="21"/>
        </w:rPr>
        <w:t>技照招标文件，响应文件，合同、相关承诺和相关补充文件的内容进行，并符合国家行政管理部门关于信息工程项目验收有关规定。</w:t>
      </w:r>
    </w:p>
    <w:p w14:paraId="1AA566DE">
      <w:pPr>
        <w:pStyle w:val="70"/>
        <w:spacing w:before="0" w:beforeAutospacing="0" w:after="0" w:afterAutospacing="0" w:line="360" w:lineRule="auto"/>
        <w:ind w:firstLine="420" w:firstLineChars="200"/>
        <w:rPr>
          <w:kern w:val="2"/>
          <w:sz w:val="21"/>
          <w:szCs w:val="21"/>
        </w:rPr>
      </w:pPr>
      <w:r>
        <w:rPr>
          <w:rFonts w:hint="eastAsia"/>
          <w:kern w:val="2"/>
          <w:sz w:val="21"/>
          <w:szCs w:val="21"/>
        </w:rPr>
        <w:t>8.4.4验收标准:</w:t>
      </w:r>
    </w:p>
    <w:p w14:paraId="5DD7BEA2">
      <w:pPr>
        <w:pStyle w:val="70"/>
        <w:spacing w:before="0" w:beforeAutospacing="0" w:after="0" w:afterAutospacing="0" w:line="360" w:lineRule="auto"/>
        <w:ind w:firstLine="420" w:firstLineChars="200"/>
        <w:rPr>
          <w:kern w:val="2"/>
          <w:sz w:val="21"/>
          <w:szCs w:val="21"/>
        </w:rPr>
      </w:pPr>
      <w:r>
        <w:rPr>
          <w:rFonts w:hint="eastAsia"/>
          <w:kern w:val="2"/>
          <w:sz w:val="21"/>
          <w:szCs w:val="21"/>
        </w:rPr>
        <w:t>产品所有技术性能规格及参数，应符合招标文件和乙方投标文件所要求的技术标准及服务标准，并符合国家行政管理部门关于医疗卫生信息化建设有关技术规范和功能标准。系统运行稳定，无故障，数据无错误。甲方有权委托相关具有检验资质的部门、单位、机构计对中标货物的相度(软硬件).性能进行检验，检验费用由甲方自行承担。如未通过检验检测，乙方的货物及安装工程存在问题，所产生的费用由乙方承担。</w:t>
      </w:r>
    </w:p>
    <w:p w14:paraId="010D7AA6">
      <w:pPr>
        <w:pStyle w:val="70"/>
        <w:spacing w:before="0" w:beforeAutospacing="0" w:after="0" w:afterAutospacing="0" w:line="360" w:lineRule="auto"/>
        <w:ind w:firstLine="420" w:firstLineChars="200"/>
        <w:rPr>
          <w:kern w:val="2"/>
          <w:sz w:val="21"/>
          <w:szCs w:val="21"/>
        </w:rPr>
      </w:pPr>
      <w:r>
        <w:rPr>
          <w:rFonts w:hint="eastAsia"/>
          <w:kern w:val="2"/>
          <w:sz w:val="21"/>
          <w:szCs w:val="21"/>
        </w:rPr>
        <w:t>8.5培训要求乙方向指定用户方提供免费培训，培调方式包括理论培训和现场培训。供应商须针对不同的培训对象，提出全面，详细的培训计划，包括但不限于培训内容、培训时间、地点，授课老师等。</w:t>
      </w:r>
    </w:p>
    <w:p w14:paraId="60D4D2F5">
      <w:pPr>
        <w:pStyle w:val="70"/>
        <w:spacing w:before="0" w:beforeAutospacing="0" w:after="0" w:afterAutospacing="0" w:line="360" w:lineRule="auto"/>
        <w:ind w:firstLine="420" w:firstLineChars="200"/>
        <w:rPr>
          <w:kern w:val="2"/>
          <w:sz w:val="21"/>
          <w:szCs w:val="21"/>
        </w:rPr>
      </w:pPr>
      <w:r>
        <w:rPr>
          <w:rFonts w:hint="eastAsia"/>
          <w:kern w:val="2"/>
          <w:sz w:val="21"/>
          <w:szCs w:val="21"/>
        </w:rPr>
        <w:t>乙方派出的培训教员具备丰富的相同课程教学经验，所有的培训教员中文授课,乙方为所有被培训人员提供培调用文字资料和讲义等相关用品。</w:t>
      </w:r>
    </w:p>
    <w:p w14:paraId="20A86FF9">
      <w:pPr>
        <w:pStyle w:val="70"/>
        <w:spacing w:before="0" w:beforeAutospacing="0" w:after="0" w:afterAutospacing="0" w:line="360" w:lineRule="auto"/>
        <w:ind w:firstLine="420" w:firstLineChars="200"/>
        <w:rPr>
          <w:kern w:val="2"/>
          <w:sz w:val="21"/>
          <w:szCs w:val="21"/>
        </w:rPr>
      </w:pPr>
      <w:r>
        <w:rPr>
          <w:rFonts w:hint="eastAsia"/>
          <w:kern w:val="2"/>
          <w:sz w:val="21"/>
          <w:szCs w:val="21"/>
        </w:rPr>
        <w:t>乙方按乙方与指定用户方约定合理地安排培训时间。并保证按照培训计划达到应有的培训目的。</w:t>
      </w:r>
    </w:p>
    <w:p w14:paraId="612C0C9A">
      <w:pPr>
        <w:pStyle w:val="70"/>
        <w:spacing w:before="0" w:beforeAutospacing="0" w:after="0" w:afterAutospacing="0" w:line="360" w:lineRule="auto"/>
        <w:rPr>
          <w:kern w:val="2"/>
          <w:sz w:val="21"/>
          <w:szCs w:val="21"/>
        </w:rPr>
      </w:pPr>
      <w:r>
        <w:rPr>
          <w:rFonts w:hint="eastAsia"/>
          <w:kern w:val="2"/>
          <w:sz w:val="21"/>
          <w:szCs w:val="21"/>
        </w:rPr>
        <w:t>本次培训主要面向系统管理员、管理人员，操作员等不同群体提供系统化、定制化和有针对性的培训，培训形式包含现场培训和线上培训两种。(甲方有义务在职责范围内向乙方提供培训组织、协调服务。培训完成后，乙方应向甲方交付培训效果评价资料，供甲方抽查审核。)</w:t>
      </w:r>
    </w:p>
    <w:p w14:paraId="4E99F627">
      <w:pPr>
        <w:pStyle w:val="70"/>
        <w:spacing w:before="0" w:beforeAutospacing="0" w:after="0" w:afterAutospacing="0" w:line="360" w:lineRule="auto"/>
        <w:rPr>
          <w:kern w:val="2"/>
          <w:sz w:val="21"/>
          <w:szCs w:val="21"/>
        </w:rPr>
      </w:pPr>
      <w:r>
        <w:rPr>
          <w:rFonts w:hint="eastAsia"/>
          <w:kern w:val="2"/>
          <w:sz w:val="21"/>
          <w:szCs w:val="21"/>
        </w:rPr>
        <w:t>管理人员</w:t>
      </w:r>
    </w:p>
    <w:p w14:paraId="27CF73BC">
      <w:pPr>
        <w:pStyle w:val="70"/>
        <w:spacing w:before="0" w:beforeAutospacing="0" w:after="0" w:afterAutospacing="0" w:line="360" w:lineRule="auto"/>
        <w:rPr>
          <w:kern w:val="2"/>
          <w:sz w:val="21"/>
          <w:szCs w:val="21"/>
        </w:rPr>
      </w:pPr>
      <w:r>
        <w:rPr>
          <w:rFonts w:hint="eastAsia"/>
          <w:kern w:val="2"/>
          <w:sz w:val="21"/>
          <w:szCs w:val="21"/>
        </w:rPr>
        <w:t>管理人员培训内容主要为医疗卫生信息化发展趋势、系统流程和相关管理思想为管理人员的管理和宏观决策提供科学依据。培训的目的在于使管理人员对现代医疗卫生信息化技术和本次项目整个系统有一个总体的、宏观的认识。</w:t>
      </w:r>
    </w:p>
    <w:p w14:paraId="0F73C4EB">
      <w:pPr>
        <w:pStyle w:val="70"/>
        <w:spacing w:before="0" w:beforeAutospacing="0" w:after="0" w:afterAutospacing="0" w:line="360" w:lineRule="auto"/>
        <w:rPr>
          <w:kern w:val="2"/>
          <w:sz w:val="21"/>
          <w:szCs w:val="21"/>
        </w:rPr>
      </w:pPr>
      <w:r>
        <w:rPr>
          <w:rFonts w:hint="eastAsia"/>
          <w:kern w:val="2"/>
          <w:sz w:val="21"/>
          <w:szCs w:val="21"/>
        </w:rPr>
        <w:t>系统管理员</w:t>
      </w:r>
    </w:p>
    <w:p w14:paraId="4D6F0D3F">
      <w:pPr>
        <w:pStyle w:val="70"/>
        <w:spacing w:before="0" w:beforeAutospacing="0" w:after="0" w:afterAutospacing="0" w:line="360" w:lineRule="auto"/>
        <w:rPr>
          <w:kern w:val="2"/>
          <w:sz w:val="21"/>
          <w:szCs w:val="21"/>
        </w:rPr>
      </w:pPr>
      <w:r>
        <w:rPr>
          <w:rFonts w:hint="eastAsia"/>
          <w:kern w:val="2"/>
          <w:sz w:val="21"/>
          <w:szCs w:val="21"/>
        </w:rPr>
        <w:t>系统管理员是保证系统正常运转的关键技术人员。对他们的培训非常重要，建议采取小班化培训，一般每次不多于5人。</w:t>
      </w:r>
    </w:p>
    <w:p w14:paraId="1143FE3C">
      <w:pPr>
        <w:pStyle w:val="70"/>
        <w:spacing w:before="0" w:beforeAutospacing="0" w:after="0" w:afterAutospacing="0" w:line="360" w:lineRule="auto"/>
        <w:rPr>
          <w:kern w:val="2"/>
          <w:sz w:val="21"/>
          <w:szCs w:val="21"/>
        </w:rPr>
      </w:pPr>
      <w:r>
        <w:rPr>
          <w:rFonts w:hint="eastAsia"/>
          <w:kern w:val="2"/>
          <w:sz w:val="21"/>
          <w:szCs w:val="21"/>
        </w:rPr>
        <w:t xml:space="preserve">    系统管理员培训是对系统中使用到的相关技术和软硬件系统的使用进行培训，使用户能够掌握系统的基本原理、安装配置及运行维护等方面的技术。培训完成后，用户要有维护系统的一定能力，以保障系统安全、高效的运行。系统管理员可在医院上系统时进行全方位的学习跟进。</w:t>
      </w:r>
    </w:p>
    <w:p w14:paraId="2C99AA80">
      <w:pPr>
        <w:pStyle w:val="70"/>
        <w:spacing w:before="0" w:beforeAutospacing="0" w:after="0" w:afterAutospacing="0" w:line="360" w:lineRule="auto"/>
        <w:rPr>
          <w:kern w:val="2"/>
          <w:sz w:val="21"/>
          <w:szCs w:val="21"/>
        </w:rPr>
      </w:pPr>
      <w:r>
        <w:rPr>
          <w:rFonts w:hint="eastAsia"/>
          <w:kern w:val="2"/>
          <w:sz w:val="21"/>
          <w:szCs w:val="21"/>
        </w:rPr>
        <w:t>系统操作员对系统操作员培训的主要目的是使他们了解系统的总体情况，熟悉系统软件的基本流程和各模块功能，并能熟练操作系统，以便使他们能充分发挥计算机系统的数据处理优势，帮助他们提高工作效率。系统操作员培训建议采取集体专题培训。对业务人员的基本要求有两条：熟悉各自的业务流程和管理职能。</w:t>
      </w:r>
    </w:p>
    <w:p w14:paraId="7277C4ED">
      <w:pPr>
        <w:pStyle w:val="70"/>
        <w:spacing w:before="0" w:beforeAutospacing="0" w:after="0" w:afterAutospacing="0" w:line="360" w:lineRule="auto"/>
        <w:rPr>
          <w:kern w:val="2"/>
          <w:sz w:val="21"/>
          <w:szCs w:val="21"/>
        </w:rPr>
      </w:pPr>
      <w:r>
        <w:rPr>
          <w:rFonts w:hint="eastAsia"/>
          <w:kern w:val="2"/>
          <w:sz w:val="21"/>
          <w:szCs w:val="21"/>
        </w:rPr>
        <w:t>8.6售后服务要求</w:t>
      </w:r>
    </w:p>
    <w:p w14:paraId="65FD8FA2">
      <w:pPr>
        <w:pStyle w:val="70"/>
        <w:spacing w:before="0" w:beforeAutospacing="0" w:after="0" w:afterAutospacing="0" w:line="360" w:lineRule="auto"/>
        <w:rPr>
          <w:kern w:val="2"/>
          <w:sz w:val="21"/>
          <w:szCs w:val="21"/>
        </w:rPr>
      </w:pPr>
      <w:r>
        <w:rPr>
          <w:rFonts w:hint="eastAsia"/>
          <w:kern w:val="2"/>
          <w:sz w:val="21"/>
          <w:szCs w:val="21"/>
        </w:rPr>
        <w:t>乙方具备与本项日匹配的服务能力，以响应技术服务要求。项目整体质保期为签订验收合格书之日起年。</w:t>
      </w:r>
    </w:p>
    <w:p w14:paraId="63F14423">
      <w:pPr>
        <w:pStyle w:val="70"/>
        <w:spacing w:before="0" w:beforeAutospacing="0" w:after="0" w:afterAutospacing="0" w:line="360" w:lineRule="auto"/>
        <w:rPr>
          <w:kern w:val="2"/>
          <w:sz w:val="21"/>
          <w:szCs w:val="21"/>
        </w:rPr>
      </w:pPr>
      <w:r>
        <w:rPr>
          <w:rFonts w:hint="eastAsia"/>
          <w:kern w:val="2"/>
          <w:sz w:val="21"/>
          <w:szCs w:val="21"/>
        </w:rPr>
        <w:t>工程建设期间及质保期均属于免费服务期，该期限内的所有售后服务，包括软件维护，版本升级服务以及个别功能的修改所产生的费用均由乙方承担。响应时间和响应方式:乙方在承诺售后服务响应时间，并不得低于以下标准:提供7X24电话或电子邮件服务或远程支持服务，(接到指定用户方报修响应时间10-30分钟，接到指定用户方报修通知2小时内做出明确响应和安排，8小时内做出故障诊断报告。如到现场服务的。具有解决故障能力的工程师应在接到报修通知到达现场。</w:t>
      </w:r>
    </w:p>
    <w:p w14:paraId="4179437B">
      <w:pPr>
        <w:pStyle w:val="70"/>
        <w:spacing w:before="0" w:beforeAutospacing="0" w:after="0" w:afterAutospacing="0" w:line="360" w:lineRule="auto"/>
        <w:rPr>
          <w:kern w:val="2"/>
          <w:sz w:val="21"/>
          <w:szCs w:val="21"/>
        </w:rPr>
      </w:pPr>
      <w:r>
        <w:rPr>
          <w:rFonts w:hint="eastAsia"/>
          <w:kern w:val="2"/>
          <w:sz w:val="21"/>
          <w:szCs w:val="21"/>
        </w:rPr>
        <w:t>乙方在质保期满后向指定用户方提供如质保期内的售后服务，并经双方协商后签订维护合同及其他事项。</w:t>
      </w:r>
    </w:p>
    <w:p w14:paraId="0DAF7D91">
      <w:pPr>
        <w:pStyle w:val="70"/>
        <w:spacing w:before="0" w:beforeAutospacing="0" w:after="0" w:afterAutospacing="0" w:line="360" w:lineRule="auto"/>
        <w:rPr>
          <w:kern w:val="2"/>
          <w:sz w:val="21"/>
          <w:szCs w:val="21"/>
        </w:rPr>
      </w:pPr>
      <w:r>
        <w:rPr>
          <w:rFonts w:hint="eastAsia"/>
          <w:kern w:val="2"/>
          <w:sz w:val="21"/>
          <w:szCs w:val="21"/>
        </w:rPr>
        <w:t xml:space="preserve">    乙方同意在合同交付工期时间内接口免费对接。(质保期内新增的软件对接接口开发需求，乙方应协助甲方完成软件系统的对接开发工作，乙方不再收取其它费用)。质保期内甲方对软件系统有二次开发需要，乙方必须协助实现，</w:t>
      </w:r>
    </w:p>
    <w:p w14:paraId="45BEF138">
      <w:pPr>
        <w:pStyle w:val="70"/>
        <w:spacing w:before="0" w:beforeAutospacing="0" w:after="0" w:afterAutospacing="0" w:line="360" w:lineRule="auto"/>
        <w:rPr>
          <w:kern w:val="2"/>
          <w:sz w:val="21"/>
          <w:szCs w:val="21"/>
        </w:rPr>
      </w:pPr>
      <w:r>
        <w:rPr>
          <w:rFonts w:hint="eastAsia"/>
          <w:kern w:val="2"/>
          <w:sz w:val="21"/>
          <w:szCs w:val="21"/>
        </w:rPr>
        <w:t>8.7项目应提交的成果和电子文档</w:t>
      </w:r>
    </w:p>
    <w:p w14:paraId="4EDF35EC">
      <w:pPr>
        <w:pStyle w:val="70"/>
        <w:spacing w:before="0" w:beforeAutospacing="0" w:after="0" w:afterAutospacing="0" w:line="360" w:lineRule="auto"/>
        <w:rPr>
          <w:kern w:val="2"/>
          <w:sz w:val="21"/>
          <w:szCs w:val="21"/>
        </w:rPr>
      </w:pPr>
      <w:r>
        <w:rPr>
          <w:rFonts w:hint="eastAsia"/>
          <w:kern w:val="2"/>
          <w:sz w:val="21"/>
          <w:szCs w:val="21"/>
        </w:rPr>
        <w:t>项目应提交的成果和电子文档，包括但不限于(不包含源代码):</w:t>
      </w:r>
    </w:p>
    <w:p w14:paraId="43D4E330">
      <w:pPr>
        <w:pStyle w:val="70"/>
        <w:spacing w:before="0" w:beforeAutospacing="0" w:after="0" w:afterAutospacing="0" w:line="360" w:lineRule="auto"/>
        <w:rPr>
          <w:kern w:val="2"/>
          <w:sz w:val="21"/>
          <w:szCs w:val="21"/>
        </w:rPr>
      </w:pPr>
      <w:r>
        <w:rPr>
          <w:rFonts w:hint="eastAsia"/>
          <w:kern w:val="2"/>
          <w:sz w:val="21"/>
          <w:szCs w:val="21"/>
        </w:rPr>
        <w:t>(1)项日总体规划(项目计划书、实施方案[包括项目组人员、项目实施进度安排]等);</w:t>
      </w:r>
    </w:p>
    <w:p w14:paraId="6525D4D3">
      <w:pPr>
        <w:pStyle w:val="70"/>
        <w:spacing w:before="0" w:beforeAutospacing="0" w:after="0" w:afterAutospacing="0" w:line="360" w:lineRule="auto"/>
        <w:rPr>
          <w:kern w:val="2"/>
          <w:sz w:val="21"/>
          <w:szCs w:val="21"/>
        </w:rPr>
      </w:pPr>
      <w:r>
        <w:rPr>
          <w:rFonts w:hint="eastAsia"/>
          <w:kern w:val="2"/>
          <w:sz w:val="21"/>
          <w:szCs w:val="21"/>
        </w:rPr>
        <w:t>(2)需求分析报告(用户需求、软件需求等);</w:t>
      </w:r>
    </w:p>
    <w:p w14:paraId="4897E223">
      <w:pPr>
        <w:pStyle w:val="70"/>
        <w:spacing w:before="0" w:beforeAutospacing="0" w:after="0" w:afterAutospacing="0" w:line="360" w:lineRule="auto"/>
        <w:rPr>
          <w:kern w:val="2"/>
          <w:sz w:val="21"/>
          <w:szCs w:val="21"/>
        </w:rPr>
      </w:pPr>
      <w:r>
        <w:rPr>
          <w:rFonts w:hint="eastAsia"/>
          <w:kern w:val="2"/>
          <w:sz w:val="21"/>
          <w:szCs w:val="21"/>
        </w:rPr>
        <w:t>(3)系统总体设计报告，详细设计，概要设计，数据库设计等;</w:t>
      </w:r>
    </w:p>
    <w:p w14:paraId="36EE6CCD">
      <w:pPr>
        <w:pStyle w:val="70"/>
        <w:spacing w:before="0" w:beforeAutospacing="0" w:after="0" w:afterAutospacing="0" w:line="360" w:lineRule="auto"/>
        <w:rPr>
          <w:kern w:val="2"/>
          <w:sz w:val="21"/>
          <w:szCs w:val="21"/>
        </w:rPr>
      </w:pPr>
      <w:r>
        <w:rPr>
          <w:rFonts w:hint="eastAsia"/>
          <w:kern w:val="2"/>
          <w:sz w:val="21"/>
          <w:szCs w:val="21"/>
        </w:rPr>
        <w:t>(4)系统数据字典，数据结构、表结构、字段说明等;</w:t>
      </w:r>
    </w:p>
    <w:p w14:paraId="1C7007C0">
      <w:pPr>
        <w:pStyle w:val="70"/>
        <w:spacing w:before="0" w:beforeAutospacing="0" w:after="0" w:afterAutospacing="0" w:line="360" w:lineRule="auto"/>
        <w:rPr>
          <w:kern w:val="2"/>
          <w:sz w:val="21"/>
          <w:szCs w:val="21"/>
        </w:rPr>
      </w:pPr>
      <w:r>
        <w:rPr>
          <w:rFonts w:hint="eastAsia"/>
          <w:kern w:val="2"/>
          <w:sz w:val="21"/>
          <w:szCs w:val="21"/>
        </w:rPr>
        <w:t>(5)系统测试报告，模块测试、系统测试，测试方案，内部测试报告，第三方测试报告等;</w:t>
      </w:r>
    </w:p>
    <w:p w14:paraId="04CDC1C2">
      <w:pPr>
        <w:pStyle w:val="70"/>
        <w:spacing w:before="0" w:beforeAutospacing="0" w:after="0" w:afterAutospacing="0" w:line="360" w:lineRule="auto"/>
        <w:rPr>
          <w:kern w:val="2"/>
          <w:sz w:val="21"/>
          <w:szCs w:val="21"/>
        </w:rPr>
      </w:pPr>
      <w:r>
        <w:rPr>
          <w:rFonts w:hint="eastAsia"/>
          <w:kern w:val="2"/>
          <w:sz w:val="21"/>
          <w:szCs w:val="21"/>
        </w:rPr>
        <w:t>(6)系统业务流程;</w:t>
      </w:r>
    </w:p>
    <w:p w14:paraId="2BC7C034">
      <w:pPr>
        <w:pStyle w:val="70"/>
        <w:spacing w:before="0" w:beforeAutospacing="0" w:after="0" w:afterAutospacing="0" w:line="360" w:lineRule="auto"/>
        <w:rPr>
          <w:kern w:val="2"/>
          <w:sz w:val="21"/>
          <w:szCs w:val="21"/>
        </w:rPr>
      </w:pPr>
      <w:r>
        <w:rPr>
          <w:rFonts w:hint="eastAsia"/>
          <w:kern w:val="2"/>
          <w:sz w:val="21"/>
          <w:szCs w:val="21"/>
        </w:rPr>
        <w:t>(7)变更管理文档;</w:t>
      </w:r>
    </w:p>
    <w:p w14:paraId="22F6FBFA">
      <w:pPr>
        <w:pStyle w:val="70"/>
        <w:spacing w:before="0" w:beforeAutospacing="0" w:after="0" w:afterAutospacing="0" w:line="360" w:lineRule="auto"/>
        <w:rPr>
          <w:kern w:val="2"/>
          <w:sz w:val="21"/>
          <w:szCs w:val="21"/>
        </w:rPr>
      </w:pPr>
      <w:r>
        <w:rPr>
          <w:rFonts w:hint="eastAsia"/>
          <w:kern w:val="2"/>
          <w:sz w:val="21"/>
          <w:szCs w:val="21"/>
        </w:rPr>
        <w:t>(8) 相关手册资料[用户操作手册、维护手册、客户端安装手册及安装程序、基础数据标准字典、接口说明书、交互数据字典及测试报告]</w:t>
      </w:r>
    </w:p>
    <w:p w14:paraId="562ED761">
      <w:pPr>
        <w:pStyle w:val="70"/>
        <w:spacing w:before="0" w:beforeAutospacing="0" w:after="0" w:afterAutospacing="0" w:line="360" w:lineRule="auto"/>
        <w:rPr>
          <w:kern w:val="2"/>
          <w:sz w:val="21"/>
          <w:szCs w:val="21"/>
        </w:rPr>
      </w:pPr>
      <w:r>
        <w:rPr>
          <w:rFonts w:hint="eastAsia"/>
          <w:kern w:val="2"/>
          <w:sz w:val="21"/>
          <w:szCs w:val="21"/>
        </w:rPr>
        <w:t>(9) 软件程序服务器配置</w:t>
      </w:r>
    </w:p>
    <w:p w14:paraId="476BD92F">
      <w:pPr>
        <w:pStyle w:val="70"/>
        <w:spacing w:before="0" w:beforeAutospacing="0" w:after="0" w:afterAutospacing="0" w:line="360" w:lineRule="auto"/>
        <w:rPr>
          <w:kern w:val="2"/>
          <w:sz w:val="21"/>
          <w:szCs w:val="21"/>
        </w:rPr>
      </w:pPr>
      <w:r>
        <w:rPr>
          <w:rFonts w:hint="eastAsia"/>
          <w:kern w:val="2"/>
          <w:sz w:val="21"/>
          <w:szCs w:val="21"/>
        </w:rPr>
        <w:t>(10) 培训资料[包括培训计划、方式、内容；使用培训、技术培训资料及人员培训相关资料]，</w:t>
      </w:r>
    </w:p>
    <w:p w14:paraId="1FE09059">
      <w:pPr>
        <w:pStyle w:val="70"/>
        <w:spacing w:before="0" w:beforeAutospacing="0" w:after="0" w:afterAutospacing="0" w:line="360" w:lineRule="auto"/>
        <w:rPr>
          <w:kern w:val="2"/>
          <w:sz w:val="21"/>
          <w:szCs w:val="21"/>
        </w:rPr>
      </w:pPr>
      <w:r>
        <w:rPr>
          <w:rFonts w:hint="eastAsia"/>
          <w:kern w:val="2"/>
          <w:sz w:val="21"/>
          <w:szCs w:val="21"/>
        </w:rPr>
        <w:t>（11）相关报表</w:t>
      </w:r>
    </w:p>
    <w:p w14:paraId="29D2F13F">
      <w:pPr>
        <w:pStyle w:val="70"/>
        <w:spacing w:before="0" w:beforeAutospacing="0" w:after="0" w:afterAutospacing="0" w:line="360" w:lineRule="auto"/>
        <w:rPr>
          <w:kern w:val="2"/>
          <w:sz w:val="21"/>
          <w:szCs w:val="21"/>
        </w:rPr>
      </w:pPr>
      <w:r>
        <w:rPr>
          <w:rFonts w:hint="eastAsia"/>
          <w:kern w:val="2"/>
          <w:sz w:val="21"/>
          <w:szCs w:val="21"/>
        </w:rPr>
        <w:t>第九条保密原则</w:t>
      </w:r>
    </w:p>
    <w:p w14:paraId="5725EBF3">
      <w:pPr>
        <w:pStyle w:val="70"/>
        <w:spacing w:before="0" w:beforeAutospacing="0" w:after="0" w:afterAutospacing="0" w:line="360" w:lineRule="auto"/>
        <w:rPr>
          <w:kern w:val="2"/>
          <w:sz w:val="21"/>
          <w:szCs w:val="21"/>
        </w:rPr>
      </w:pPr>
      <w:r>
        <w:rPr>
          <w:rFonts w:hint="eastAsia"/>
          <w:kern w:val="2"/>
          <w:sz w:val="21"/>
          <w:szCs w:val="21"/>
        </w:rPr>
        <w:t>项目中所涉及的双方的内部资料、数据和其他商业信息，未经有关方许可，任何一方不得以任何形式用于合同之外的目的，不得以任何形式向其他方泄露。任何一方泄密，另一方有权迫究泄密方的经济和法律责任。</w:t>
      </w:r>
    </w:p>
    <w:p w14:paraId="385C6884">
      <w:pPr>
        <w:pStyle w:val="70"/>
        <w:spacing w:before="0" w:beforeAutospacing="0" w:after="0" w:afterAutospacing="0" w:line="360" w:lineRule="auto"/>
        <w:rPr>
          <w:kern w:val="2"/>
          <w:sz w:val="21"/>
          <w:szCs w:val="21"/>
        </w:rPr>
      </w:pPr>
      <w:r>
        <w:rPr>
          <w:rFonts w:hint="eastAsia"/>
          <w:kern w:val="2"/>
          <w:sz w:val="21"/>
          <w:szCs w:val="21"/>
        </w:rPr>
        <w:t>第十条项目负责人</w:t>
      </w:r>
    </w:p>
    <w:p w14:paraId="4E06CA7E">
      <w:pPr>
        <w:pStyle w:val="70"/>
        <w:spacing w:before="0" w:beforeAutospacing="0" w:after="0" w:afterAutospacing="0" w:line="360" w:lineRule="auto"/>
        <w:rPr>
          <w:kern w:val="2"/>
          <w:sz w:val="21"/>
          <w:szCs w:val="21"/>
        </w:rPr>
      </w:pPr>
      <w:r>
        <w:rPr>
          <w:rFonts w:hint="eastAsia"/>
          <w:kern w:val="2"/>
          <w:sz w:val="21"/>
          <w:szCs w:val="21"/>
        </w:rPr>
        <w:t>双方在合同履约过程中，应当指定项目负责人(代表)壹名，以书面授权形式提交对方备案。</w:t>
      </w:r>
    </w:p>
    <w:p w14:paraId="4065B008">
      <w:pPr>
        <w:pStyle w:val="70"/>
        <w:spacing w:before="0" w:beforeAutospacing="0" w:after="0" w:afterAutospacing="0" w:line="360" w:lineRule="auto"/>
        <w:ind w:left="520"/>
        <w:rPr>
          <w:kern w:val="2"/>
          <w:sz w:val="21"/>
          <w:szCs w:val="21"/>
        </w:rPr>
      </w:pPr>
      <w:r>
        <w:rPr>
          <w:rFonts w:hint="eastAsia"/>
          <w:kern w:val="2"/>
          <w:sz w:val="21"/>
          <w:szCs w:val="21"/>
        </w:rPr>
        <w:t>甲方项目负责人(代表)姓名 联系方式:</w:t>
      </w:r>
    </w:p>
    <w:p w14:paraId="71A0A1F8">
      <w:pPr>
        <w:pStyle w:val="70"/>
        <w:spacing w:before="0" w:beforeAutospacing="0" w:after="0" w:afterAutospacing="0" w:line="360" w:lineRule="auto"/>
        <w:ind w:left="520"/>
        <w:rPr>
          <w:kern w:val="2"/>
          <w:sz w:val="21"/>
          <w:szCs w:val="21"/>
        </w:rPr>
      </w:pPr>
      <w:r>
        <w:rPr>
          <w:rFonts w:hint="eastAsia"/>
          <w:kern w:val="2"/>
          <w:sz w:val="21"/>
          <w:szCs w:val="21"/>
        </w:rPr>
        <w:t>乙方项目负责人(代表)姓名: 联系方式:</w:t>
      </w:r>
    </w:p>
    <w:p w14:paraId="541C4712">
      <w:pPr>
        <w:pStyle w:val="70"/>
        <w:spacing w:before="0" w:beforeAutospacing="0" w:after="0" w:afterAutospacing="0" w:line="360" w:lineRule="auto"/>
        <w:rPr>
          <w:kern w:val="2"/>
          <w:sz w:val="21"/>
          <w:szCs w:val="21"/>
        </w:rPr>
      </w:pPr>
      <w:r>
        <w:rPr>
          <w:rFonts w:hint="eastAsia"/>
          <w:kern w:val="2"/>
          <w:sz w:val="21"/>
          <w:szCs w:val="21"/>
        </w:rPr>
        <w:t>项目负责人(代表)负责项目实施过程中的协调、沟通工作，如提出需求变更、发起并召开需求研讨会、协商并签订合同备忘录、确认进度、签署工程联系单及验收报告等一切事宜。双方项目负责人(代表)的变更应提前5个工作日内书面通知对方。</w:t>
      </w:r>
    </w:p>
    <w:p w14:paraId="3D410D84">
      <w:pPr>
        <w:spacing w:line="360" w:lineRule="auto"/>
        <w:rPr>
          <w:szCs w:val="21"/>
        </w:rPr>
      </w:pPr>
      <w:r>
        <w:rPr>
          <w:rFonts w:hint="eastAsia" w:ascii="宋体" w:hAnsi="宋体"/>
          <w:szCs w:val="21"/>
        </w:rPr>
        <w:t>第十一条</w:t>
      </w:r>
      <w:r>
        <w:rPr>
          <w:rFonts w:hint="eastAsia"/>
          <w:szCs w:val="21"/>
        </w:rPr>
        <w:t>其它</w:t>
      </w:r>
    </w:p>
    <w:p w14:paraId="45717FFE">
      <w:pPr>
        <w:pStyle w:val="70"/>
        <w:spacing w:before="0" w:beforeAutospacing="0" w:after="0" w:afterAutospacing="0" w:line="360" w:lineRule="auto"/>
        <w:ind w:firstLine="518" w:firstLineChars="247"/>
        <w:rPr>
          <w:kern w:val="2"/>
          <w:sz w:val="21"/>
          <w:szCs w:val="21"/>
        </w:rPr>
      </w:pPr>
      <w:r>
        <w:rPr>
          <w:rFonts w:hint="eastAsia"/>
          <w:kern w:val="2"/>
          <w:sz w:val="21"/>
          <w:szCs w:val="21"/>
        </w:rPr>
        <w:t>1、交付使用后的系统因软件研发技术原因导致不能正常运行、使用，甲方有权解除合同，乙方应归还甲方支付的所有合同资金，并偿付合同总价百分之十的违约金。</w:t>
      </w:r>
    </w:p>
    <w:p w14:paraId="207D52E5">
      <w:pPr>
        <w:pStyle w:val="24"/>
        <w:spacing w:line="360" w:lineRule="auto"/>
        <w:ind w:left="142" w:firstLine="420" w:firstLineChars="200"/>
      </w:pPr>
      <w:r>
        <w:rPr>
          <w:rFonts w:hint="eastAsia" w:ascii="Calibri" w:hAnsi="Calibri"/>
        </w:rPr>
        <w:t>2、</w:t>
      </w:r>
      <w:r>
        <w:rPr>
          <w:rFonts w:hint="eastAsia"/>
        </w:rPr>
        <w:t>本合同一式陆份，甲方执肆份，乙方执贰份，经双方签字盖章之后生效。传真件、合同附件具有同等法律效力，合同生效时限，以双方中的一方最终签订日期为准。</w:t>
      </w:r>
    </w:p>
    <w:p w14:paraId="609E596A">
      <w:pPr>
        <w:pStyle w:val="24"/>
        <w:spacing w:line="360" w:lineRule="auto"/>
        <w:ind w:left="562"/>
      </w:pPr>
      <w:r>
        <w:rPr>
          <w:rFonts w:hint="eastAsia"/>
        </w:rPr>
        <w:t>3、本合同与洽谈文件内容及招标文件内容互补，具有同等法律效力。</w:t>
      </w:r>
    </w:p>
    <w:p w14:paraId="05F176BF">
      <w:pPr>
        <w:pStyle w:val="24"/>
        <w:spacing w:line="360" w:lineRule="auto"/>
        <w:ind w:left="562"/>
      </w:pPr>
      <w:r>
        <w:rPr>
          <w:rFonts w:hint="eastAsia"/>
        </w:rPr>
        <w:t>4、本合同经双方签字、盖章生效，如有未尽事宜，可经双方协商作出补充协议，补充协议经双方授权代表签字并加盖单位公章后与本合同具有同等法律效力。</w:t>
      </w:r>
    </w:p>
    <w:p w14:paraId="78A5F82C">
      <w:pPr>
        <w:pStyle w:val="24"/>
        <w:spacing w:line="360" w:lineRule="auto"/>
        <w:ind w:left="562"/>
      </w:pPr>
      <w:r>
        <w:rPr>
          <w:rFonts w:hint="eastAsia"/>
        </w:rPr>
        <w:t>5、本合同执行过程中发生纠纷，由甲乙双方协商解决；或提交当地相关部门调解；协商或调解不成,则任何一方应向甲方所在地人民法院提起诉讼。</w:t>
      </w:r>
    </w:p>
    <w:p w14:paraId="5519A8FE">
      <w:pPr>
        <w:spacing w:line="360" w:lineRule="auto"/>
        <w:rPr>
          <w:szCs w:val="21"/>
        </w:rPr>
      </w:pPr>
      <w:r>
        <w:rPr>
          <w:rFonts w:hint="eastAsia"/>
          <w:szCs w:val="21"/>
        </w:rPr>
        <w:t>（以下无正文）</w:t>
      </w:r>
    </w:p>
    <w:p w14:paraId="0A4B21EE">
      <w:pPr>
        <w:tabs>
          <w:tab w:val="left" w:pos="4950"/>
        </w:tabs>
        <w:spacing w:line="360" w:lineRule="auto"/>
        <w:rPr>
          <w:szCs w:val="21"/>
        </w:rPr>
      </w:pPr>
      <w:r>
        <w:rPr>
          <w:rFonts w:hint="eastAsia"/>
          <w:szCs w:val="21"/>
        </w:rPr>
        <w:t>甲方：如东县中医院乙方：</w:t>
      </w:r>
    </w:p>
    <w:p w14:paraId="5F035332">
      <w:pPr>
        <w:tabs>
          <w:tab w:val="left" w:pos="3975"/>
        </w:tabs>
        <w:spacing w:line="360" w:lineRule="auto"/>
        <w:rPr>
          <w:szCs w:val="21"/>
        </w:rPr>
      </w:pPr>
      <w:r>
        <w:rPr>
          <w:rFonts w:hint="eastAsia"/>
          <w:szCs w:val="21"/>
        </w:rPr>
        <w:t>（盖章）</w:t>
      </w:r>
      <w:r>
        <w:rPr>
          <w:szCs w:val="21"/>
        </w:rPr>
        <w:tab/>
      </w:r>
      <w:r>
        <w:rPr>
          <w:rFonts w:hint="eastAsia"/>
          <w:szCs w:val="21"/>
        </w:rPr>
        <w:t>（盖章）</w:t>
      </w:r>
    </w:p>
    <w:p w14:paraId="6885947B">
      <w:pPr>
        <w:tabs>
          <w:tab w:val="center" w:pos="4153"/>
        </w:tabs>
        <w:spacing w:line="360" w:lineRule="auto"/>
        <w:rPr>
          <w:szCs w:val="21"/>
        </w:rPr>
      </w:pPr>
      <w:r>
        <w:rPr>
          <w:rFonts w:hint="eastAsia"/>
          <w:szCs w:val="21"/>
        </w:rPr>
        <w:t>签约代表：</w:t>
      </w:r>
      <w:r>
        <w:rPr>
          <w:szCs w:val="21"/>
        </w:rPr>
        <w:tab/>
      </w:r>
      <w:r>
        <w:rPr>
          <w:rFonts w:hint="eastAsia"/>
          <w:szCs w:val="21"/>
        </w:rPr>
        <w:t>签约代表：</w:t>
      </w:r>
    </w:p>
    <w:p w14:paraId="5FD81A44">
      <w:r>
        <w:rPr>
          <w:rFonts w:hint="eastAsia"/>
          <w:szCs w:val="21"/>
        </w:rPr>
        <w:t>日期：年月日日期：年月日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9CC00">
    <w:pPr>
      <w:snapToGrid w:val="0"/>
    </w:pPr>
    <w:r>
      <w:pict>
        <v:shape id="文本框 11" o:spid="_x0000_s4098" o:spt="202" type="#_x0000_t202" style="position:absolute;left:0pt;margin-top:0pt;height:10.35pt;width:4.5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">
          <v:path/>
          <v:fill on="f" focussize="0,0"/>
          <v:stroke on="f" weight="1.25pt" joinstyle="miter"/>
          <v:imagedata o:title=""/>
          <o:lock v:ext="edit"/>
          <v:textbox inset="0mm,0mm,0mm,0mm" style="mso-fit-shape-to-text:t;">
            <w:txbxContent>
              <w:p w14:paraId="57AC15FD">
                <w:pPr>
                  <w:pStyle w:val="29"/>
                </w:pPr>
                <w:r>
                  <w:fldChar w:fldCharType="begin"/>
                </w:r>
                <w:r>
                  <w:instrText xml:space="preserve"> PAGE  \* MERGEFORMAT </w:instrText>
                </w:r>
                <w:r>
                  <w:fldChar w:fldCharType="separate"/>
                </w:r>
                <w:r>
                  <w:t>31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337FF">
    <w:pPr>
      <w:pStyle w:val="29"/>
    </w:pPr>
    <w:r>
      <w:pict>
        <v:shape id="文本框 12" o:spid="_x0000_s4097" o:spt="202" type="#_x0000_t202" style="position:absolute;left:0pt;margin-top:0pt;height:10.35pt;width:4.55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">
          <v:path/>
          <v:fill on="f" focussize="0,0"/>
          <v:stroke on="f" weight="1.25pt" joinstyle="miter"/>
          <v:imagedata o:title=""/>
          <o:lock v:ext="edit"/>
          <v:textbox inset="0mm,0mm,0mm,0mm" style="mso-fit-shape-to-text:t;">
            <w:txbxContent>
              <w:p w14:paraId="4D278CA8">
                <w:pPr>
                  <w:pStyle w:val="29"/>
                </w:pPr>
                <w:r>
                  <w:fldChar w:fldCharType="begin"/>
                </w:r>
                <w:r>
                  <w:instrText xml:space="preserve"> PAGE  \* MERGEFORMAT </w:instrText>
                </w:r>
                <w:r>
                  <w:fldChar w:fldCharType="separate"/>
                </w:r>
                <w:r>
                  <w:t>12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D94A4">
    <w:pPr>
      <w:snapToGrid w:val="0"/>
    </w:pPr>
    <w:r>
      <w:pict>
        <v:shape id="文本框 9" o:spid="_x0000_s4100"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">
          <v:path/>
          <v:fill on="f" focussize="0,0"/>
          <v:stroke on="f" weight="1.25pt" joinstyle="miter"/>
          <v:imagedata o:title=""/>
          <o:lock v:ext="edit"/>
          <v:textbox inset="0mm,0mm,0mm,0mm" style="mso-fit-shape-to-text:t;">
            <w:txbxContent>
              <w:p w14:paraId="04C021C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680A">
    <w:pPr>
      <w:pStyle w:val="29"/>
    </w:pPr>
    <w:r>
      <w:pict>
        <v:shape id="文本框 10" o:spid="_x0000_s4099" o:spt="202" type="#_x0000_t202" style="position:absolute;left:0pt;margin-top:0pt;height:10.35pt;width:9.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">
          <v:path/>
          <v:fill on="f" focussize="0,0"/>
          <v:stroke on="f" weight="1.25pt" joinstyle="miter"/>
          <v:imagedata o:title=""/>
          <o:lock v:ext="edit"/>
          <v:textbox inset="0mm,0mm,0mm,0mm" style="mso-fit-shape-to-text:t;">
            <w:txbxContent>
              <w:p w14:paraId="254956B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55500">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9EDE4">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28A37"/>
    <w:multiLevelType w:val="singleLevel"/>
    <w:tmpl w:val="B9E28A37"/>
    <w:lvl w:ilvl="0" w:tentative="0">
      <w:start w:val="2"/>
      <w:numFmt w:val="decimal"/>
      <w:suff w:val="nothing"/>
      <w:lvlText w:val="%1、"/>
      <w:lvlJc w:val="left"/>
    </w:lvl>
  </w:abstractNum>
  <w:abstractNum w:abstractNumId="1">
    <w:nsid w:val="00000001"/>
    <w:multiLevelType w:val="multilevel"/>
    <w:tmpl w:val="00000001"/>
    <w:lvl w:ilvl="0" w:tentative="0">
      <w:start w:val="1"/>
      <w:numFmt w:val="japaneseCounting"/>
      <w:lvlText w:val="第%1章"/>
      <w:lvlJc w:val="left"/>
      <w:pPr>
        <w:tabs>
          <w:tab w:val="left" w:pos="1200"/>
        </w:tabs>
        <w:ind w:left="1200" w:hanging="1200"/>
      </w:pPr>
      <w:rPr>
        <w:rFonts w:hint="default"/>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434617E"/>
    <w:multiLevelType w:val="multilevel"/>
    <w:tmpl w:val="0434617E"/>
    <w:lvl w:ilvl="0" w:tentative="0">
      <w:start w:val="1"/>
      <w:numFmt w:val="decimal"/>
      <w:lvlText w:val="%1"/>
      <w:lvlJc w:val="center"/>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803A085"/>
    <w:multiLevelType w:val="singleLevel"/>
    <w:tmpl w:val="0803A085"/>
    <w:lvl w:ilvl="0" w:tentative="0">
      <w:start w:val="6"/>
      <w:numFmt w:val="decimal"/>
      <w:suff w:val="nothing"/>
      <w:lvlText w:val="%1．"/>
      <w:lvlJc w:val="left"/>
    </w:lvl>
  </w:abstractNum>
  <w:abstractNum w:abstractNumId="4">
    <w:nsid w:val="0FF14540"/>
    <w:multiLevelType w:val="multilevel"/>
    <w:tmpl w:val="0FF14540"/>
    <w:lvl w:ilvl="0" w:tentative="0">
      <w:start w:val="1"/>
      <w:numFmt w:val="japaneseCounting"/>
      <w:lvlText w:val="%1、"/>
      <w:lvlJc w:val="left"/>
      <w:pPr>
        <w:tabs>
          <w:tab w:val="left" w:pos="862"/>
        </w:tabs>
        <w:ind w:left="862" w:hanging="720"/>
      </w:pPr>
      <w:rPr>
        <w:rFonts w:hint="default"/>
        <w:sz w:val="28"/>
        <w:szCs w:val="28"/>
      </w:rPr>
    </w:lvl>
    <w:lvl w:ilvl="1" w:tentative="0">
      <w:start w:val="1"/>
      <w:numFmt w:val="lowerLetter"/>
      <w:lvlText w:val="%2)"/>
      <w:lvlJc w:val="left"/>
      <w:pPr>
        <w:tabs>
          <w:tab w:val="left" w:pos="1115"/>
        </w:tabs>
        <w:ind w:left="1115" w:hanging="420"/>
      </w:pPr>
    </w:lvl>
    <w:lvl w:ilvl="2" w:tentative="0">
      <w:start w:val="1"/>
      <w:numFmt w:val="lowerRoman"/>
      <w:lvlText w:val="%3."/>
      <w:lvlJc w:val="right"/>
      <w:pPr>
        <w:tabs>
          <w:tab w:val="left" w:pos="1535"/>
        </w:tabs>
        <w:ind w:left="1535" w:hanging="420"/>
      </w:pPr>
    </w:lvl>
    <w:lvl w:ilvl="3" w:tentative="0">
      <w:start w:val="1"/>
      <w:numFmt w:val="decimal"/>
      <w:lvlText w:val="%4."/>
      <w:lvlJc w:val="left"/>
      <w:pPr>
        <w:tabs>
          <w:tab w:val="left" w:pos="1955"/>
        </w:tabs>
        <w:ind w:left="1955" w:hanging="420"/>
      </w:pPr>
    </w:lvl>
    <w:lvl w:ilvl="4" w:tentative="0">
      <w:start w:val="1"/>
      <w:numFmt w:val="lowerLetter"/>
      <w:lvlText w:val="%5)"/>
      <w:lvlJc w:val="left"/>
      <w:pPr>
        <w:tabs>
          <w:tab w:val="left" w:pos="2375"/>
        </w:tabs>
        <w:ind w:left="2375" w:hanging="420"/>
      </w:pPr>
    </w:lvl>
    <w:lvl w:ilvl="5" w:tentative="0">
      <w:start w:val="1"/>
      <w:numFmt w:val="lowerRoman"/>
      <w:lvlText w:val="%6."/>
      <w:lvlJc w:val="right"/>
      <w:pPr>
        <w:tabs>
          <w:tab w:val="left" w:pos="2795"/>
        </w:tabs>
        <w:ind w:left="2795" w:hanging="420"/>
      </w:pPr>
    </w:lvl>
    <w:lvl w:ilvl="6" w:tentative="0">
      <w:start w:val="1"/>
      <w:numFmt w:val="decimal"/>
      <w:lvlText w:val="%7."/>
      <w:lvlJc w:val="left"/>
      <w:pPr>
        <w:tabs>
          <w:tab w:val="left" w:pos="3215"/>
        </w:tabs>
        <w:ind w:left="3215" w:hanging="420"/>
      </w:pPr>
    </w:lvl>
    <w:lvl w:ilvl="7" w:tentative="0">
      <w:start w:val="1"/>
      <w:numFmt w:val="lowerLetter"/>
      <w:lvlText w:val="%8)"/>
      <w:lvlJc w:val="left"/>
      <w:pPr>
        <w:tabs>
          <w:tab w:val="left" w:pos="3635"/>
        </w:tabs>
        <w:ind w:left="3635" w:hanging="420"/>
      </w:pPr>
    </w:lvl>
    <w:lvl w:ilvl="8" w:tentative="0">
      <w:start w:val="1"/>
      <w:numFmt w:val="lowerRoman"/>
      <w:lvlText w:val="%9."/>
      <w:lvlJc w:val="right"/>
      <w:pPr>
        <w:tabs>
          <w:tab w:val="left" w:pos="4055"/>
        </w:tabs>
        <w:ind w:left="4055" w:hanging="420"/>
      </w:pPr>
    </w:lvl>
  </w:abstractNum>
  <w:abstractNum w:abstractNumId="5">
    <w:nsid w:val="3DBB5F1A"/>
    <w:multiLevelType w:val="singleLevel"/>
    <w:tmpl w:val="3DBB5F1A"/>
    <w:lvl w:ilvl="0" w:tentative="0">
      <w:start w:val="5"/>
      <w:numFmt w:val="chineseCounting"/>
      <w:suff w:val="space"/>
      <w:lvlText w:val="第%1章"/>
      <w:lvlJc w:val="left"/>
      <w:rPr>
        <w:rFonts w:hint="eastAsia"/>
      </w:rPr>
    </w:lvl>
  </w:abstractNum>
  <w:abstractNum w:abstractNumId="6">
    <w:nsid w:val="56AF3A38"/>
    <w:multiLevelType w:val="multilevel"/>
    <w:tmpl w:val="56AF3A38"/>
    <w:lvl w:ilvl="0" w:tentative="0">
      <w:start w:val="1"/>
      <w:numFmt w:val="decimal"/>
      <w:lvlText w:val="%1)"/>
      <w:lvlJc w:val="left"/>
      <w:pPr>
        <w:ind w:left="420" w:hanging="420"/>
      </w:pPr>
      <w:rPr>
        <w:rFonts w:hint="default"/>
      </w:rPr>
    </w:lvl>
    <w:lvl w:ilvl="1" w:tentative="0">
      <w:start w:val="47"/>
      <w:numFmt w:val="decimal"/>
      <w:lvlText w:val="%2）"/>
      <w:lvlJc w:val="left"/>
      <w:pPr>
        <w:ind w:left="440" w:hanging="44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75FC860"/>
    <w:multiLevelType w:val="multilevel"/>
    <w:tmpl w:val="575FC860"/>
    <w:lvl w:ilvl="0" w:tentative="0">
      <w:start w:val="1"/>
      <w:numFmt w:val="japaneseCounting"/>
      <w:lvlText w:val="%1、"/>
      <w:lvlJc w:val="left"/>
      <w:pPr>
        <w:tabs>
          <w:tab w:val="left" w:pos="1020"/>
        </w:tabs>
        <w:ind w:left="1020" w:hanging="480"/>
      </w:pPr>
      <w:rPr>
        <w:b/>
        <w:sz w:val="28"/>
        <w:szCs w:val="28"/>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5FE9EDF3"/>
    <w:multiLevelType w:val="singleLevel"/>
    <w:tmpl w:val="5FE9EDF3"/>
    <w:lvl w:ilvl="0" w:tentative="0">
      <w:start w:val="1"/>
      <w:numFmt w:val="chineseCounting"/>
      <w:suff w:val="nothing"/>
      <w:lvlText w:val="%1、"/>
      <w:lvlJc w:val="left"/>
      <w:rPr>
        <w:rFonts w:hint="eastAsia"/>
      </w:rPr>
    </w:lvl>
  </w:abstractNum>
  <w:abstractNum w:abstractNumId="9">
    <w:nsid w:val="66828188"/>
    <w:multiLevelType w:val="singleLevel"/>
    <w:tmpl w:val="66828188"/>
    <w:lvl w:ilvl="0" w:tentative="0">
      <w:start w:val="1"/>
      <w:numFmt w:val="decimal"/>
      <w:lvlText w:val="%1."/>
      <w:lvlJc w:val="left"/>
      <w:pPr>
        <w:tabs>
          <w:tab w:val="left" w:pos="312"/>
        </w:tabs>
      </w:pPr>
    </w:lvl>
  </w:abstractNum>
  <w:abstractNum w:abstractNumId="10">
    <w:nsid w:val="6981BB36"/>
    <w:multiLevelType w:val="singleLevel"/>
    <w:tmpl w:val="6981BB36"/>
    <w:lvl w:ilvl="0" w:tentative="0">
      <w:start w:val="3"/>
      <w:numFmt w:val="chineseCounting"/>
      <w:suff w:val="nothing"/>
      <w:lvlText w:val="%1、"/>
      <w:lvlJc w:val="left"/>
      <w:pPr>
        <w:ind w:left="120" w:firstLine="0"/>
      </w:pPr>
      <w:rPr>
        <w:rFonts w:hint="eastAsia"/>
      </w:rPr>
    </w:lvl>
  </w:abstractNum>
  <w:abstractNum w:abstractNumId="11">
    <w:nsid w:val="7F6A5F70"/>
    <w:multiLevelType w:val="multilevel"/>
    <w:tmpl w:val="7F6A5F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0"/>
  </w:num>
  <w:num w:numId="3">
    <w:abstractNumId w:val="11"/>
  </w:num>
  <w:num w:numId="4">
    <w:abstractNumId w:val="8"/>
  </w:num>
  <w:num w:numId="5">
    <w:abstractNumId w:val="9"/>
  </w:num>
  <w:num w:numId="6">
    <w:abstractNumId w:val="2"/>
  </w:num>
  <w:num w:numId="7">
    <w:abstractNumId w:val="6"/>
  </w:num>
  <w:num w:numId="8">
    <w:abstractNumId w:val="4"/>
  </w:num>
  <w:num w:numId="9">
    <w:abstractNumId w:val="3"/>
  </w:num>
  <w:num w:numId="10">
    <w:abstractNumId w:val="7"/>
    <w:lvlOverride w:ilvl="0">
      <w:startOverride w:val="1"/>
    </w:lvlOverride>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FiNWQwNGMzMzRjOWRhMzMxODY1ZGU0NzdmNTJjMGYifQ=="/>
  </w:docVars>
  <w:rsids>
    <w:rsidRoot w:val="00B11793"/>
    <w:rsid w:val="000849C4"/>
    <w:rsid w:val="002948D4"/>
    <w:rsid w:val="00426B0C"/>
    <w:rsid w:val="0056103C"/>
    <w:rsid w:val="006F01A8"/>
    <w:rsid w:val="00775EC7"/>
    <w:rsid w:val="00A841CF"/>
    <w:rsid w:val="00B11793"/>
    <w:rsid w:val="1A7341CC"/>
    <w:rsid w:val="65D13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7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7"/>
    <w:qFormat/>
    <w:uiPriority w:val="9"/>
    <w:pPr>
      <w:keepNext/>
      <w:keepLines/>
      <w:spacing w:before="120" w:after="120" w:line="416" w:lineRule="auto"/>
      <w:outlineLvl w:val="1"/>
    </w:pPr>
    <w:rPr>
      <w:rFonts w:ascii="Arial" w:hAnsi="Arial" w:eastAsia="黑体"/>
      <w:bCs/>
      <w:sz w:val="32"/>
      <w:szCs w:val="32"/>
    </w:rPr>
  </w:style>
  <w:style w:type="paragraph" w:styleId="5">
    <w:name w:val="heading 3"/>
    <w:basedOn w:val="1"/>
    <w:next w:val="6"/>
    <w:link w:val="54"/>
    <w:qFormat/>
    <w:uiPriority w:val="9"/>
    <w:pPr>
      <w:keepNext/>
      <w:keepLines/>
      <w:spacing w:before="260" w:after="260" w:line="416" w:lineRule="auto"/>
      <w:outlineLvl w:val="2"/>
    </w:pPr>
    <w:rPr>
      <w:b/>
      <w:bCs/>
      <w:sz w:val="32"/>
      <w:szCs w:val="32"/>
    </w:rPr>
  </w:style>
  <w:style w:type="paragraph" w:styleId="7">
    <w:name w:val="heading 4"/>
    <w:basedOn w:val="1"/>
    <w:next w:val="6"/>
    <w:link w:val="72"/>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3"/>
    <w:qFormat/>
    <w:uiPriority w:val="9"/>
    <w:pPr>
      <w:keepNext/>
      <w:keepLines/>
      <w:spacing w:before="280" w:after="290" w:line="372" w:lineRule="auto"/>
      <w:outlineLvl w:val="4"/>
    </w:pPr>
    <w:rPr>
      <w:rFonts w:ascii="Calibri" w:hAnsi="Calibri"/>
      <w:b/>
      <w:bCs/>
      <w:sz w:val="28"/>
      <w:szCs w:val="28"/>
    </w:rPr>
  </w:style>
  <w:style w:type="paragraph" w:styleId="9">
    <w:name w:val="heading 6"/>
    <w:basedOn w:val="1"/>
    <w:next w:val="1"/>
    <w:link w:val="74"/>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10">
    <w:name w:val="heading 7"/>
    <w:basedOn w:val="1"/>
    <w:next w:val="1"/>
    <w:link w:val="75"/>
    <w:qFormat/>
    <w:uiPriority w:val="9"/>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11">
    <w:name w:val="heading 8"/>
    <w:basedOn w:val="1"/>
    <w:next w:val="1"/>
    <w:link w:val="76"/>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2">
    <w:name w:val="heading 9"/>
    <w:basedOn w:val="1"/>
    <w:next w:val="1"/>
    <w:link w:val="77"/>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5"/>
    <w:qFormat/>
    <w:uiPriority w:val="1"/>
    <w:rPr>
      <w:rFonts w:asciiTheme="minorHAnsi" w:hAnsiTheme="minorHAnsi" w:cstheme="minorBidi"/>
      <w:sz w:val="28"/>
      <w:szCs w:val="24"/>
    </w:rPr>
  </w:style>
  <w:style w:type="paragraph" w:styleId="6">
    <w:name w:val="Normal Indent"/>
    <w:basedOn w:val="1"/>
    <w:link w:val="59"/>
    <w:qFormat/>
    <w:uiPriority w:val="0"/>
    <w:pPr>
      <w:adjustRightInd w:val="0"/>
      <w:spacing w:line="360" w:lineRule="atLeast"/>
      <w:ind w:firstLine="482"/>
    </w:pPr>
    <w:rPr>
      <w:rFonts w:asciiTheme="minorHAnsi" w:hAnsiTheme="minorHAnsi" w:cstheme="minorBidi"/>
      <w:sz w:val="24"/>
      <w:szCs w:val="24"/>
    </w:rPr>
  </w:style>
  <w:style w:type="paragraph" w:styleId="13">
    <w:name w:val="toc 7"/>
    <w:basedOn w:val="1"/>
    <w:next w:val="1"/>
    <w:qFormat/>
    <w:uiPriority w:val="0"/>
    <w:pPr>
      <w:ind w:left="2520" w:leftChars="1200"/>
    </w:pPr>
    <w:rPr>
      <w:rFonts w:ascii="Calibri" w:hAnsi="Calibri"/>
      <w:szCs w:val="22"/>
    </w:rPr>
  </w:style>
  <w:style w:type="paragraph" w:styleId="14">
    <w:name w:val="caption"/>
    <w:basedOn w:val="1"/>
    <w:next w:val="1"/>
    <w:qFormat/>
    <w:uiPriority w:val="0"/>
    <w:rPr>
      <w:rFonts w:ascii="Cambria" w:hAnsi="Cambria" w:eastAsia="黑体"/>
      <w:sz w:val="20"/>
    </w:rPr>
  </w:style>
  <w:style w:type="paragraph" w:styleId="15">
    <w:name w:val="Document Map"/>
    <w:basedOn w:val="1"/>
    <w:link w:val="161"/>
    <w:qFormat/>
    <w:uiPriority w:val="0"/>
    <w:pPr>
      <w:shd w:val="clear" w:color="auto" w:fill="000080"/>
    </w:pPr>
    <w:rPr>
      <w:rFonts w:asciiTheme="minorHAnsi" w:hAnsiTheme="minorHAnsi" w:cstheme="minorBidi"/>
      <w:szCs w:val="22"/>
    </w:rPr>
  </w:style>
  <w:style w:type="paragraph" w:styleId="16">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17">
    <w:name w:val="annotation text"/>
    <w:basedOn w:val="1"/>
    <w:link w:val="155"/>
    <w:uiPriority w:val="0"/>
    <w:pPr>
      <w:jc w:val="left"/>
    </w:pPr>
    <w:rPr>
      <w:rFonts w:asciiTheme="minorHAnsi" w:hAnsiTheme="minorHAnsi" w:cstheme="minorBidi"/>
      <w:szCs w:val="22"/>
    </w:rPr>
  </w:style>
  <w:style w:type="paragraph" w:styleId="18">
    <w:name w:val="Body Text 3"/>
    <w:basedOn w:val="1"/>
    <w:link w:val="160"/>
    <w:qFormat/>
    <w:uiPriority w:val="0"/>
    <w:rPr>
      <w:rFonts w:ascii="宋体" w:hAnsiTheme="minorHAnsi" w:cstheme="minorBidi"/>
      <w:sz w:val="24"/>
      <w:szCs w:val="22"/>
    </w:rPr>
  </w:style>
  <w:style w:type="paragraph" w:styleId="19">
    <w:name w:val="Body Text Indent"/>
    <w:basedOn w:val="1"/>
    <w:link w:val="62"/>
    <w:unhideWhenUsed/>
    <w:qFormat/>
    <w:uiPriority w:val="99"/>
    <w:pPr>
      <w:spacing w:after="120"/>
      <w:ind w:left="420" w:leftChars="200"/>
    </w:pPr>
  </w:style>
  <w:style w:type="paragraph" w:styleId="20">
    <w:name w:val="Block Text"/>
    <w:basedOn w:val="1"/>
    <w:uiPriority w:val="0"/>
    <w:pPr>
      <w:spacing w:line="400" w:lineRule="exact"/>
      <w:ind w:left="2" w:leftChars="1" w:right="693" w:rightChars="330" w:firstLine="600" w:firstLineChars="200"/>
    </w:pPr>
    <w:rPr>
      <w:rFonts w:ascii="宋体" w:hAnsi="宋体"/>
      <w:sz w:val="30"/>
      <w:szCs w:val="24"/>
    </w:rPr>
  </w:style>
  <w:style w:type="paragraph" w:styleId="21">
    <w:name w:val="index 4"/>
    <w:basedOn w:val="1"/>
    <w:next w:val="1"/>
    <w:uiPriority w:val="0"/>
    <w:pPr>
      <w:ind w:left="600" w:leftChars="600"/>
    </w:pPr>
    <w:rPr>
      <w:szCs w:val="24"/>
    </w:rPr>
  </w:style>
  <w:style w:type="paragraph" w:styleId="22">
    <w:name w:val="toc 5"/>
    <w:basedOn w:val="1"/>
    <w:next w:val="1"/>
    <w:qFormat/>
    <w:uiPriority w:val="0"/>
    <w:pPr>
      <w:ind w:left="1680" w:leftChars="800"/>
    </w:pPr>
    <w:rPr>
      <w:szCs w:val="24"/>
    </w:rPr>
  </w:style>
  <w:style w:type="paragraph" w:styleId="23">
    <w:name w:val="toc 3"/>
    <w:basedOn w:val="1"/>
    <w:next w:val="1"/>
    <w:qFormat/>
    <w:uiPriority w:val="39"/>
    <w:pPr>
      <w:ind w:left="840" w:leftChars="400"/>
    </w:pPr>
    <w:rPr>
      <w:szCs w:val="24"/>
    </w:rPr>
  </w:style>
  <w:style w:type="paragraph" w:styleId="24">
    <w:name w:val="Plain Text"/>
    <w:basedOn w:val="1"/>
    <w:link w:val="64"/>
    <w:qFormat/>
    <w:uiPriority w:val="0"/>
    <w:rPr>
      <w:rFonts w:ascii="宋体" w:hAnsi="Courier New" w:cstheme="minorBidi"/>
      <w:szCs w:val="21"/>
    </w:rPr>
  </w:style>
  <w:style w:type="paragraph" w:styleId="25">
    <w:name w:val="toc 8"/>
    <w:basedOn w:val="1"/>
    <w:next w:val="1"/>
    <w:qFormat/>
    <w:uiPriority w:val="0"/>
    <w:pPr>
      <w:ind w:left="2940" w:leftChars="1400"/>
    </w:pPr>
    <w:rPr>
      <w:rFonts w:ascii="Calibri" w:hAnsi="Calibri"/>
      <w:szCs w:val="22"/>
    </w:rPr>
  </w:style>
  <w:style w:type="paragraph" w:styleId="26">
    <w:name w:val="Date"/>
    <w:basedOn w:val="1"/>
    <w:next w:val="1"/>
    <w:link w:val="159"/>
    <w:qFormat/>
    <w:uiPriority w:val="0"/>
    <w:pPr>
      <w:ind w:left="100" w:leftChars="2500"/>
    </w:pPr>
    <w:rPr>
      <w:rFonts w:asciiTheme="minorHAnsi" w:hAnsiTheme="minorHAnsi" w:cstheme="minorBidi"/>
      <w:szCs w:val="24"/>
    </w:rPr>
  </w:style>
  <w:style w:type="paragraph" w:styleId="27">
    <w:name w:val="Body Text Indent 2"/>
    <w:basedOn w:val="1"/>
    <w:link w:val="163"/>
    <w:qFormat/>
    <w:uiPriority w:val="0"/>
    <w:pPr>
      <w:spacing w:after="120" w:line="480" w:lineRule="auto"/>
      <w:ind w:left="420" w:leftChars="200"/>
    </w:pPr>
    <w:rPr>
      <w:rFonts w:asciiTheme="minorHAnsi" w:hAnsiTheme="minorHAnsi" w:cstheme="minorBidi"/>
      <w:szCs w:val="24"/>
    </w:rPr>
  </w:style>
  <w:style w:type="paragraph" w:styleId="28">
    <w:name w:val="Balloon Text"/>
    <w:basedOn w:val="1"/>
    <w:link w:val="162"/>
    <w:qFormat/>
    <w:uiPriority w:val="0"/>
    <w:rPr>
      <w:rFonts w:asciiTheme="minorHAnsi" w:hAnsiTheme="minorHAnsi" w:cstheme="minorBidi"/>
      <w:sz w:val="18"/>
      <w:szCs w:val="18"/>
    </w:rPr>
  </w:style>
  <w:style w:type="paragraph" w:styleId="29">
    <w:name w:val="footer"/>
    <w:basedOn w:val="1"/>
    <w:link w:val="66"/>
    <w:qFormat/>
    <w:uiPriority w:val="0"/>
    <w:pPr>
      <w:tabs>
        <w:tab w:val="center" w:pos="4153"/>
        <w:tab w:val="right" w:pos="8306"/>
      </w:tabs>
      <w:snapToGrid w:val="0"/>
      <w:jc w:val="left"/>
    </w:pPr>
    <w:rPr>
      <w:rFonts w:asciiTheme="minorHAnsi" w:hAnsiTheme="minorHAnsi" w:cstheme="minorBidi"/>
      <w:sz w:val="18"/>
      <w:szCs w:val="18"/>
    </w:rPr>
  </w:style>
  <w:style w:type="paragraph" w:styleId="30">
    <w:name w:val="envelope return"/>
    <w:basedOn w:val="1"/>
    <w:unhideWhenUsed/>
    <w:qFormat/>
    <w:uiPriority w:val="99"/>
    <w:pPr>
      <w:snapToGrid w:val="0"/>
    </w:pPr>
    <w:rPr>
      <w:rFonts w:ascii="Arial" w:hAnsi="Arial"/>
    </w:rPr>
  </w:style>
  <w:style w:type="paragraph" w:styleId="31">
    <w:name w:val="header"/>
    <w:basedOn w:val="1"/>
    <w:link w:val="6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2">
    <w:name w:val="toc 1"/>
    <w:basedOn w:val="1"/>
    <w:next w:val="1"/>
    <w:uiPriority w:val="39"/>
    <w:rPr>
      <w:szCs w:val="24"/>
    </w:rPr>
  </w:style>
  <w:style w:type="paragraph" w:styleId="33">
    <w:name w:val="toc 4"/>
    <w:basedOn w:val="1"/>
    <w:next w:val="1"/>
    <w:qFormat/>
    <w:uiPriority w:val="0"/>
    <w:pPr>
      <w:ind w:left="1260" w:leftChars="600"/>
    </w:pPr>
    <w:rPr>
      <w:szCs w:val="24"/>
    </w:rPr>
  </w:style>
  <w:style w:type="paragraph" w:styleId="34">
    <w:name w:val="Subtitle"/>
    <w:basedOn w:val="1"/>
    <w:next w:val="1"/>
    <w:link w:val="158"/>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5">
    <w:name w:val="toc 6"/>
    <w:basedOn w:val="1"/>
    <w:next w:val="1"/>
    <w:uiPriority w:val="0"/>
    <w:pPr>
      <w:ind w:left="2100" w:leftChars="1000"/>
    </w:pPr>
    <w:rPr>
      <w:rFonts w:ascii="Calibri" w:hAnsi="Calibri"/>
      <w:szCs w:val="22"/>
    </w:rPr>
  </w:style>
  <w:style w:type="paragraph" w:styleId="36">
    <w:name w:val="Body Text Indent 3"/>
    <w:basedOn w:val="1"/>
    <w:link w:val="154"/>
    <w:uiPriority w:val="0"/>
    <w:pPr>
      <w:spacing w:after="120"/>
      <w:ind w:left="420" w:leftChars="200"/>
    </w:pPr>
    <w:rPr>
      <w:rFonts w:asciiTheme="minorHAnsi" w:hAnsiTheme="minorHAnsi" w:cstheme="minorBidi"/>
      <w:sz w:val="16"/>
      <w:szCs w:val="16"/>
    </w:rPr>
  </w:style>
  <w:style w:type="paragraph" w:styleId="37">
    <w:name w:val="toc 2"/>
    <w:basedOn w:val="1"/>
    <w:next w:val="1"/>
    <w:qFormat/>
    <w:uiPriority w:val="39"/>
    <w:pPr>
      <w:ind w:left="420" w:leftChars="200"/>
    </w:pPr>
    <w:rPr>
      <w:szCs w:val="24"/>
    </w:rPr>
  </w:style>
  <w:style w:type="paragraph" w:styleId="38">
    <w:name w:val="toc 9"/>
    <w:basedOn w:val="1"/>
    <w:next w:val="1"/>
    <w:uiPriority w:val="0"/>
    <w:pPr>
      <w:ind w:left="3360" w:leftChars="1600"/>
    </w:pPr>
    <w:rPr>
      <w:rFonts w:ascii="Calibri" w:hAnsi="Calibri"/>
      <w:szCs w:val="22"/>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Title"/>
    <w:basedOn w:val="1"/>
    <w:link w:val="156"/>
    <w:qFormat/>
    <w:uiPriority w:val="0"/>
    <w:pPr>
      <w:adjustRightInd w:val="0"/>
      <w:spacing w:before="240" w:after="60" w:line="420" w:lineRule="atLeast"/>
      <w:jc w:val="center"/>
      <w:textAlignment w:val="baseline"/>
      <w:outlineLvl w:val="0"/>
    </w:pPr>
    <w:rPr>
      <w:rFonts w:ascii="Arial" w:hAnsi="Arial" w:cstheme="minorBidi"/>
      <w:b/>
      <w:sz w:val="32"/>
      <w:szCs w:val="22"/>
    </w:rPr>
  </w:style>
  <w:style w:type="paragraph" w:styleId="41">
    <w:name w:val="annotation subject"/>
    <w:basedOn w:val="17"/>
    <w:next w:val="17"/>
    <w:link w:val="157"/>
    <w:uiPriority w:val="0"/>
    <w:rPr>
      <w:b/>
      <w:bCs/>
      <w:szCs w:val="24"/>
    </w:rPr>
  </w:style>
  <w:style w:type="paragraph" w:styleId="42">
    <w:name w:val="Body Text First Indent"/>
    <w:basedOn w:val="2"/>
    <w:link w:val="226"/>
    <w:uiPriority w:val="0"/>
    <w:pPr>
      <w:spacing w:after="120"/>
      <w:ind w:firstLine="420" w:firstLineChars="100"/>
    </w:pPr>
    <w:rPr>
      <w:rFonts w:ascii="Times New Roman" w:hAnsi="Times New Roman" w:cs="Times New Roman"/>
      <w:sz w:val="21"/>
      <w:szCs w:val="20"/>
    </w:rPr>
  </w:style>
  <w:style w:type="paragraph" w:styleId="43">
    <w:name w:val="Body Text First Indent 2"/>
    <w:basedOn w:val="19"/>
    <w:link w:val="63"/>
    <w:qFormat/>
    <w:uiPriority w:val="99"/>
    <w:pPr>
      <w:spacing w:line="360" w:lineRule="auto"/>
    </w:pPr>
    <w:rPr>
      <w:kern w:val="0"/>
      <w:sz w:val="20"/>
    </w:rPr>
  </w:style>
  <w:style w:type="table" w:styleId="45">
    <w:name w:val="Table Grid"/>
    <w:basedOn w:val="44"/>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uiPriority w:val="0"/>
  </w:style>
  <w:style w:type="character" w:styleId="49">
    <w:name w:val="FollowedHyperlink"/>
    <w:uiPriority w:val="0"/>
    <w:rPr>
      <w:color w:val="800080"/>
      <w:u w:val="single"/>
    </w:rPr>
  </w:style>
  <w:style w:type="character" w:styleId="50">
    <w:name w:val="Emphasis"/>
    <w:qFormat/>
    <w:uiPriority w:val="0"/>
    <w:rPr>
      <w:i/>
      <w:iCs/>
    </w:rPr>
  </w:style>
  <w:style w:type="character" w:styleId="51">
    <w:name w:val="Hyperlink"/>
    <w:uiPriority w:val="99"/>
    <w:rPr>
      <w:color w:val="0000FF"/>
      <w:u w:val="single"/>
    </w:rPr>
  </w:style>
  <w:style w:type="character" w:styleId="52">
    <w:name w:val="annotation reference"/>
    <w:uiPriority w:val="0"/>
    <w:rPr>
      <w:sz w:val="21"/>
      <w:szCs w:val="21"/>
    </w:rPr>
  </w:style>
  <w:style w:type="character" w:customStyle="1" w:styleId="53">
    <w:name w:val="标题 2 Char"/>
    <w:basedOn w:val="46"/>
    <w:link w:val="4"/>
    <w:qFormat/>
    <w:uiPriority w:val="9"/>
    <w:rPr>
      <w:rFonts w:asciiTheme="majorHAnsi" w:hAnsiTheme="majorHAnsi" w:eastAsiaTheme="majorEastAsia" w:cstheme="majorBidi"/>
      <w:b/>
      <w:bCs/>
      <w:sz w:val="32"/>
      <w:szCs w:val="32"/>
    </w:rPr>
  </w:style>
  <w:style w:type="character" w:customStyle="1" w:styleId="54">
    <w:name w:val="标题 3 Char"/>
    <w:basedOn w:val="46"/>
    <w:link w:val="5"/>
    <w:uiPriority w:val="9"/>
    <w:rPr>
      <w:rFonts w:ascii="Times New Roman" w:hAnsi="Times New Roman" w:eastAsia="宋体" w:cs="Times New Roman"/>
      <w:b/>
      <w:bCs/>
      <w:sz w:val="32"/>
      <w:szCs w:val="32"/>
    </w:rPr>
  </w:style>
  <w:style w:type="character" w:customStyle="1" w:styleId="55">
    <w:name w:val="正文文本 Char"/>
    <w:link w:val="2"/>
    <w:qFormat/>
    <w:uiPriority w:val="1"/>
    <w:rPr>
      <w:rFonts w:eastAsia="宋体"/>
      <w:sz w:val="28"/>
      <w:szCs w:val="24"/>
    </w:rPr>
  </w:style>
  <w:style w:type="character" w:customStyle="1" w:styleId="56">
    <w:name w:val="页眉 Char"/>
    <w:link w:val="31"/>
    <w:qFormat/>
    <w:uiPriority w:val="99"/>
    <w:rPr>
      <w:sz w:val="18"/>
      <w:szCs w:val="18"/>
    </w:rPr>
  </w:style>
  <w:style w:type="character" w:customStyle="1" w:styleId="57">
    <w:name w:val="标题 2 Char1"/>
    <w:link w:val="4"/>
    <w:uiPriority w:val="0"/>
    <w:rPr>
      <w:rFonts w:ascii="Arial" w:hAnsi="Arial" w:eastAsia="黑体" w:cs="Times New Roman"/>
      <w:bCs/>
      <w:sz w:val="32"/>
      <w:szCs w:val="32"/>
    </w:rPr>
  </w:style>
  <w:style w:type="character" w:customStyle="1" w:styleId="58">
    <w:name w:val="页脚 Char"/>
    <w:link w:val="29"/>
    <w:qFormat/>
    <w:uiPriority w:val="0"/>
    <w:rPr>
      <w:rFonts w:eastAsia="宋体"/>
      <w:sz w:val="18"/>
      <w:szCs w:val="18"/>
    </w:rPr>
  </w:style>
  <w:style w:type="character" w:customStyle="1" w:styleId="59">
    <w:name w:val="正文缩进 Char"/>
    <w:link w:val="6"/>
    <w:qFormat/>
    <w:uiPriority w:val="0"/>
    <w:rPr>
      <w:rFonts w:eastAsia="宋体"/>
      <w:sz w:val="24"/>
      <w:szCs w:val="24"/>
    </w:rPr>
  </w:style>
  <w:style w:type="character" w:customStyle="1" w:styleId="60">
    <w:name w:val="纯文本 Char1"/>
    <w:link w:val="24"/>
    <w:uiPriority w:val="0"/>
    <w:rPr>
      <w:rFonts w:ascii="宋体" w:hAnsi="Courier New" w:eastAsia="宋体"/>
      <w:szCs w:val="21"/>
    </w:rPr>
  </w:style>
  <w:style w:type="character" w:customStyle="1" w:styleId="61">
    <w:name w:val="页眉 Char1"/>
    <w:basedOn w:val="46"/>
    <w:link w:val="31"/>
    <w:semiHidden/>
    <w:uiPriority w:val="99"/>
    <w:rPr>
      <w:rFonts w:ascii="Times New Roman" w:hAnsi="Times New Roman" w:eastAsia="宋体" w:cs="Times New Roman"/>
      <w:sz w:val="18"/>
      <w:szCs w:val="18"/>
    </w:rPr>
  </w:style>
  <w:style w:type="character" w:customStyle="1" w:styleId="62">
    <w:name w:val="正文文本缩进 Char"/>
    <w:basedOn w:val="46"/>
    <w:link w:val="19"/>
    <w:qFormat/>
    <w:uiPriority w:val="99"/>
    <w:rPr>
      <w:rFonts w:ascii="Times New Roman" w:hAnsi="Times New Roman" w:eastAsia="宋体" w:cs="Times New Roman"/>
      <w:szCs w:val="20"/>
    </w:rPr>
  </w:style>
  <w:style w:type="character" w:customStyle="1" w:styleId="63">
    <w:name w:val="正文首行缩进 2 Char"/>
    <w:basedOn w:val="62"/>
    <w:link w:val="43"/>
    <w:uiPriority w:val="99"/>
    <w:rPr>
      <w:kern w:val="0"/>
      <w:sz w:val="20"/>
    </w:rPr>
  </w:style>
  <w:style w:type="character" w:customStyle="1" w:styleId="64">
    <w:name w:val="纯文本 Char"/>
    <w:basedOn w:val="46"/>
    <w:link w:val="24"/>
    <w:uiPriority w:val="99"/>
    <w:rPr>
      <w:rFonts w:ascii="宋体" w:hAnsi="Courier New" w:eastAsia="宋体" w:cs="Courier New"/>
      <w:szCs w:val="21"/>
    </w:rPr>
  </w:style>
  <w:style w:type="character" w:customStyle="1" w:styleId="65">
    <w:name w:val="正文文本 Char1"/>
    <w:basedOn w:val="46"/>
    <w:link w:val="2"/>
    <w:uiPriority w:val="99"/>
    <w:rPr>
      <w:rFonts w:ascii="Times New Roman" w:hAnsi="Times New Roman" w:eastAsia="宋体" w:cs="Times New Roman"/>
      <w:szCs w:val="20"/>
    </w:rPr>
  </w:style>
  <w:style w:type="character" w:customStyle="1" w:styleId="66">
    <w:name w:val="页脚 Char1"/>
    <w:basedOn w:val="46"/>
    <w:link w:val="29"/>
    <w:semiHidden/>
    <w:uiPriority w:val="99"/>
    <w:rPr>
      <w:rFonts w:ascii="Times New Roman" w:hAnsi="Times New Roman" w:eastAsia="宋体" w:cs="Times New Roman"/>
      <w:sz w:val="18"/>
      <w:szCs w:val="18"/>
    </w:rPr>
  </w:style>
  <w:style w:type="paragraph" w:customStyle="1" w:styleId="67">
    <w:name w:val="正"/>
    <w:basedOn w:val="1"/>
    <w:uiPriority w:val="0"/>
    <w:pPr>
      <w:spacing w:line="360" w:lineRule="auto"/>
      <w:ind w:left="360" w:hanging="360" w:hangingChars="150"/>
    </w:pPr>
    <w:rPr>
      <w:sz w:val="24"/>
    </w:rPr>
  </w:style>
  <w:style w:type="paragraph" w:customStyle="1" w:styleId="68">
    <w:name w:val="列出段落1"/>
    <w:basedOn w:val="1"/>
    <w:qFormat/>
    <w:uiPriority w:val="99"/>
    <w:pPr>
      <w:ind w:firstLine="420" w:firstLineChars="200"/>
    </w:pPr>
    <w:rPr>
      <w:szCs w:val="22"/>
    </w:rPr>
  </w:style>
  <w:style w:type="paragraph" w:customStyle="1" w:styleId="69">
    <w:name w:val="flType"/>
    <w:basedOn w:val="1"/>
    <w:uiPriority w:val="0"/>
    <w:pPr>
      <w:adjustRightInd w:val="0"/>
      <w:spacing w:after="284" w:line="113" w:lineRule="atLeast"/>
      <w:jc w:val="center"/>
    </w:pPr>
    <w:rPr>
      <w:kern w:val="0"/>
      <w:sz w:val="24"/>
    </w:rPr>
  </w:style>
  <w:style w:type="paragraph" w:customStyle="1" w:styleId="70">
    <w:name w:val="paragraph"/>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71">
    <w:name w:val="标题 1 Char"/>
    <w:basedOn w:val="46"/>
    <w:link w:val="3"/>
    <w:qFormat/>
    <w:uiPriority w:val="9"/>
    <w:rPr>
      <w:rFonts w:ascii="Times New Roman" w:hAnsi="Times New Roman" w:eastAsia="宋体" w:cs="Times New Roman"/>
      <w:b/>
      <w:bCs/>
      <w:kern w:val="44"/>
      <w:sz w:val="44"/>
      <w:szCs w:val="44"/>
    </w:rPr>
  </w:style>
  <w:style w:type="character" w:customStyle="1" w:styleId="72">
    <w:name w:val="标题 4 Char"/>
    <w:basedOn w:val="46"/>
    <w:link w:val="7"/>
    <w:uiPriority w:val="9"/>
    <w:rPr>
      <w:rFonts w:ascii="Arial" w:hAnsi="Arial" w:eastAsia="黑体" w:cs="Times New Roman"/>
      <w:b/>
      <w:bCs/>
      <w:sz w:val="28"/>
      <w:szCs w:val="28"/>
    </w:rPr>
  </w:style>
  <w:style w:type="character" w:customStyle="1" w:styleId="73">
    <w:name w:val="标题 5 Char"/>
    <w:basedOn w:val="46"/>
    <w:link w:val="8"/>
    <w:uiPriority w:val="9"/>
    <w:rPr>
      <w:rFonts w:ascii="Calibri" w:hAnsi="Calibri" w:eastAsia="宋体" w:cs="Times New Roman"/>
      <w:b/>
      <w:bCs/>
      <w:sz w:val="28"/>
      <w:szCs w:val="28"/>
    </w:rPr>
  </w:style>
  <w:style w:type="character" w:customStyle="1" w:styleId="74">
    <w:name w:val="标题 6 Char"/>
    <w:basedOn w:val="46"/>
    <w:link w:val="9"/>
    <w:uiPriority w:val="9"/>
    <w:rPr>
      <w:rFonts w:ascii="Arial" w:hAnsi="Arial" w:eastAsia="黑体" w:cs="Times New Roman"/>
      <w:b/>
      <w:bCs/>
      <w:kern w:val="0"/>
      <w:sz w:val="24"/>
      <w:szCs w:val="24"/>
    </w:rPr>
  </w:style>
  <w:style w:type="character" w:customStyle="1" w:styleId="75">
    <w:name w:val="标题 7 Char"/>
    <w:basedOn w:val="46"/>
    <w:link w:val="10"/>
    <w:uiPriority w:val="9"/>
    <w:rPr>
      <w:rFonts w:ascii="Times New Roman" w:hAnsi="Times New Roman" w:eastAsia="宋体" w:cs="Times New Roman"/>
      <w:b/>
      <w:bCs/>
      <w:kern w:val="0"/>
      <w:sz w:val="24"/>
      <w:szCs w:val="24"/>
    </w:rPr>
  </w:style>
  <w:style w:type="character" w:customStyle="1" w:styleId="76">
    <w:name w:val="标题 8 Char"/>
    <w:basedOn w:val="46"/>
    <w:link w:val="11"/>
    <w:uiPriority w:val="9"/>
    <w:rPr>
      <w:rFonts w:ascii="Arial" w:hAnsi="Arial" w:eastAsia="黑体" w:cs="Times New Roman"/>
      <w:kern w:val="0"/>
      <w:sz w:val="24"/>
      <w:szCs w:val="24"/>
    </w:rPr>
  </w:style>
  <w:style w:type="character" w:customStyle="1" w:styleId="77">
    <w:name w:val="标题 9 Char"/>
    <w:basedOn w:val="46"/>
    <w:link w:val="12"/>
    <w:uiPriority w:val="9"/>
    <w:rPr>
      <w:rFonts w:ascii="Arial" w:hAnsi="Arial" w:eastAsia="黑体" w:cs="Times New Roman"/>
      <w:kern w:val="0"/>
      <w:szCs w:val="21"/>
    </w:rPr>
  </w:style>
  <w:style w:type="character" w:customStyle="1" w:styleId="78">
    <w:name w:val="批注文字 Char Char"/>
    <w:uiPriority w:val="0"/>
    <w:rPr>
      <w:rFonts w:ascii="宋体" w:hAnsi="Times New Roman" w:eastAsia="宋体" w:cs="Times New Roman"/>
      <w:sz w:val="28"/>
      <w:szCs w:val="20"/>
    </w:rPr>
  </w:style>
  <w:style w:type="character" w:customStyle="1" w:styleId="79">
    <w:name w:val="font41"/>
    <w:qFormat/>
    <w:uiPriority w:val="0"/>
    <w:rPr>
      <w:rFonts w:hint="eastAsia" w:ascii="宋体" w:hAnsi="宋体" w:eastAsia="宋体" w:cs="宋体"/>
      <w:color w:val="000000"/>
      <w:sz w:val="21"/>
      <w:szCs w:val="21"/>
      <w:u w:val="none"/>
    </w:rPr>
  </w:style>
  <w:style w:type="character" w:customStyle="1" w:styleId="80">
    <w:name w:val="日期 Char"/>
    <w:link w:val="26"/>
    <w:uiPriority w:val="0"/>
    <w:rPr>
      <w:rFonts w:eastAsia="宋体"/>
      <w:szCs w:val="24"/>
    </w:rPr>
  </w:style>
  <w:style w:type="character" w:customStyle="1" w:styleId="81">
    <w:name w:val="文档结构图 Char"/>
    <w:link w:val="15"/>
    <w:uiPriority w:val="0"/>
    <w:rPr>
      <w:rFonts w:eastAsia="宋体"/>
      <w:shd w:val="clear" w:color="auto" w:fill="000080"/>
    </w:rPr>
  </w:style>
  <w:style w:type="character" w:customStyle="1" w:styleId="82">
    <w:name w:val="标题 3 Char1"/>
    <w:uiPriority w:val="0"/>
    <w:rPr>
      <w:rFonts w:ascii="Times New Roman" w:hAnsi="Times New Roman" w:eastAsia="黑体"/>
      <w:bCs/>
      <w:sz w:val="24"/>
      <w:szCs w:val="32"/>
    </w:rPr>
  </w:style>
  <w:style w:type="character" w:customStyle="1" w:styleId="83">
    <w:name w:val="正文文本 3 Char"/>
    <w:link w:val="18"/>
    <w:uiPriority w:val="0"/>
    <w:rPr>
      <w:rFonts w:ascii="宋体" w:eastAsia="宋体"/>
      <w:sz w:val="24"/>
    </w:rPr>
  </w:style>
  <w:style w:type="character" w:customStyle="1" w:styleId="84">
    <w:name w:val="Char Char161"/>
    <w:uiPriority w:val="0"/>
    <w:rPr>
      <w:b/>
      <w:bCs/>
      <w:kern w:val="2"/>
      <w:sz w:val="32"/>
      <w:szCs w:val="32"/>
    </w:rPr>
  </w:style>
  <w:style w:type="character" w:customStyle="1" w:styleId="85">
    <w:name w:val="Intense Emphasis"/>
    <w:qFormat/>
    <w:uiPriority w:val="21"/>
    <w:rPr>
      <w:b/>
      <w:bCs/>
      <w:i/>
      <w:iCs/>
      <w:color w:val="4F81BD"/>
    </w:rPr>
  </w:style>
  <w:style w:type="character" w:customStyle="1" w:styleId="86">
    <w:name w:val="Char Char17"/>
    <w:uiPriority w:val="0"/>
    <w:rPr>
      <w:rFonts w:ascii="Cambria" w:hAnsi="Cambria" w:eastAsia="宋体" w:cs="Times New Roman"/>
      <w:b/>
      <w:bCs/>
      <w:kern w:val="2"/>
      <w:sz w:val="32"/>
      <w:szCs w:val="32"/>
    </w:rPr>
  </w:style>
  <w:style w:type="character" w:customStyle="1" w:styleId="87">
    <w:name w:val="明显引用 Char1"/>
    <w:uiPriority w:val="0"/>
    <w:rPr>
      <w:b/>
      <w:bCs/>
      <w:i/>
      <w:iCs/>
      <w:color w:val="4F81BD"/>
      <w:kern w:val="2"/>
      <w:sz w:val="21"/>
      <w:szCs w:val="24"/>
    </w:rPr>
  </w:style>
  <w:style w:type="character" w:customStyle="1" w:styleId="88">
    <w:name w:val="Char Char16"/>
    <w:uiPriority w:val="0"/>
    <w:rPr>
      <w:b/>
      <w:bCs/>
      <w:kern w:val="2"/>
      <w:sz w:val="32"/>
      <w:szCs w:val="32"/>
    </w:rPr>
  </w:style>
  <w:style w:type="character" w:customStyle="1" w:styleId="89">
    <w:name w:val="正文文本缩进 3 Char"/>
    <w:link w:val="36"/>
    <w:uiPriority w:val="0"/>
    <w:rPr>
      <w:rFonts w:eastAsia="宋体"/>
      <w:sz w:val="16"/>
      <w:szCs w:val="16"/>
    </w:rPr>
  </w:style>
  <w:style w:type="character" w:customStyle="1" w:styleId="90">
    <w:name w:val="批注主题 Char"/>
    <w:link w:val="41"/>
    <w:uiPriority w:val="0"/>
    <w:rPr>
      <w:rFonts w:eastAsia="宋体"/>
      <w:b/>
      <w:bCs/>
      <w:szCs w:val="24"/>
    </w:rPr>
  </w:style>
  <w:style w:type="character" w:customStyle="1" w:styleId="91">
    <w:name w:val="font141"/>
    <w:uiPriority w:val="0"/>
    <w:rPr>
      <w:rFonts w:hint="default" w:ascii="Times New Roman" w:hAnsi="Times New Roman" w:cs="Times New Roman"/>
      <w:color w:val="000000"/>
      <w:sz w:val="18"/>
      <w:szCs w:val="18"/>
      <w:u w:val="none"/>
    </w:rPr>
  </w:style>
  <w:style w:type="character" w:customStyle="1" w:styleId="92">
    <w:name w:val="font131"/>
    <w:uiPriority w:val="0"/>
    <w:rPr>
      <w:rFonts w:hint="eastAsia" w:ascii="宋体" w:hAnsi="宋体" w:eastAsia="宋体" w:cs="宋体"/>
      <w:b/>
      <w:color w:val="000000"/>
      <w:sz w:val="20"/>
      <w:szCs w:val="20"/>
      <w:u w:val="none"/>
    </w:rPr>
  </w:style>
  <w:style w:type="character" w:customStyle="1" w:styleId="93">
    <w:name w:val="font112"/>
    <w:uiPriority w:val="0"/>
    <w:rPr>
      <w:rFonts w:hint="eastAsia" w:ascii="黑体" w:eastAsia="黑体" w:cs="黑体"/>
      <w:color w:val="000000"/>
      <w:sz w:val="44"/>
      <w:szCs w:val="44"/>
      <w:u w:val="none"/>
    </w:rPr>
  </w:style>
  <w:style w:type="character" w:customStyle="1" w:styleId="94">
    <w:name w:val="批注文字 Char"/>
    <w:link w:val="17"/>
    <w:uiPriority w:val="0"/>
    <w:rPr>
      <w:rFonts w:eastAsia="宋体"/>
    </w:rPr>
  </w:style>
  <w:style w:type="character" w:customStyle="1" w:styleId="95">
    <w:name w:val="标题5 Char Char"/>
    <w:link w:val="96"/>
    <w:uiPriority w:val="0"/>
    <w:rPr>
      <w:rFonts w:ascii="Arial" w:hAnsi="Arial"/>
      <w:b/>
      <w:bCs/>
      <w:sz w:val="24"/>
      <w:szCs w:val="32"/>
    </w:rPr>
  </w:style>
  <w:style w:type="paragraph" w:customStyle="1" w:styleId="96">
    <w:name w:val="标题5"/>
    <w:basedOn w:val="5"/>
    <w:link w:val="95"/>
    <w:qFormat/>
    <w:uiPriority w:val="0"/>
    <w:pPr>
      <w:spacing w:line="413" w:lineRule="auto"/>
    </w:pPr>
    <w:rPr>
      <w:rFonts w:ascii="Arial" w:hAnsi="Arial" w:eastAsiaTheme="minorEastAsia" w:cstheme="minorBidi"/>
      <w:sz w:val="24"/>
    </w:rPr>
  </w:style>
  <w:style w:type="character" w:customStyle="1" w:styleId="97">
    <w:name w:val="Subtle Emphasis"/>
    <w:qFormat/>
    <w:uiPriority w:val="19"/>
    <w:rPr>
      <w:i/>
      <w:iCs/>
      <w:color w:val="808080"/>
    </w:rPr>
  </w:style>
  <w:style w:type="character" w:customStyle="1" w:styleId="98">
    <w:name w:val="正文文本 (3)6"/>
    <w:uiPriority w:val="0"/>
    <w:rPr>
      <w:rFonts w:ascii="宋体" w:cs="宋体"/>
      <w:szCs w:val="24"/>
      <w:u w:val="single"/>
      <w:shd w:val="clear" w:color="auto" w:fill="FFFFFF"/>
      <w:lang w:bidi="ar-SA"/>
    </w:rPr>
  </w:style>
  <w:style w:type="character" w:customStyle="1" w:styleId="99">
    <w:name w:val="font151"/>
    <w:uiPriority w:val="0"/>
    <w:rPr>
      <w:rFonts w:hint="eastAsia" w:ascii="黑体" w:hAnsi="宋体" w:eastAsia="黑体" w:cs="黑体"/>
      <w:color w:val="000000"/>
      <w:sz w:val="20"/>
      <w:szCs w:val="20"/>
      <w:u w:val="none"/>
    </w:rPr>
  </w:style>
  <w:style w:type="character" w:customStyle="1" w:styleId="100">
    <w:name w:val="引用 Char"/>
    <w:uiPriority w:val="29"/>
    <w:rPr>
      <w:i/>
      <w:iCs/>
      <w:color w:val="000000"/>
    </w:rPr>
  </w:style>
  <w:style w:type="paragraph" w:styleId="101">
    <w:name w:val="Quote"/>
    <w:basedOn w:val="1"/>
    <w:next w:val="1"/>
    <w:link w:val="200"/>
    <w:qFormat/>
    <w:uiPriority w:val="29"/>
    <w:rPr>
      <w:rFonts w:asciiTheme="minorHAnsi" w:hAnsiTheme="minorHAnsi" w:eastAsiaTheme="minorEastAsia" w:cstheme="minorBidi"/>
      <w:i/>
      <w:iCs/>
      <w:color w:val="000000"/>
      <w:szCs w:val="22"/>
    </w:rPr>
  </w:style>
  <w:style w:type="character" w:customStyle="1" w:styleId="102">
    <w:name w:val="列出段落 Char"/>
    <w:link w:val="103"/>
    <w:qFormat/>
    <w:uiPriority w:val="34"/>
    <w:rPr>
      <w:rFonts w:ascii="Calibri" w:hAnsi="Calibri"/>
    </w:rPr>
  </w:style>
  <w:style w:type="paragraph" w:styleId="103">
    <w:name w:val="List Paragraph"/>
    <w:basedOn w:val="1"/>
    <w:link w:val="102"/>
    <w:qFormat/>
    <w:uiPriority w:val="34"/>
    <w:pPr>
      <w:ind w:firstLine="420" w:firstLineChars="200"/>
    </w:pPr>
    <w:rPr>
      <w:rFonts w:ascii="Calibri" w:hAnsi="Calibri" w:eastAsiaTheme="minorEastAsia" w:cstheme="minorBidi"/>
      <w:szCs w:val="22"/>
    </w:rPr>
  </w:style>
  <w:style w:type="character" w:customStyle="1" w:styleId="104">
    <w:name w:val="批注框文本 Char"/>
    <w:link w:val="28"/>
    <w:uiPriority w:val="0"/>
    <w:rPr>
      <w:rFonts w:eastAsia="宋体"/>
      <w:sz w:val="18"/>
      <w:szCs w:val="18"/>
    </w:rPr>
  </w:style>
  <w:style w:type="character" w:customStyle="1" w:styleId="105">
    <w:name w:val="font01"/>
    <w:uiPriority w:val="0"/>
    <w:rPr>
      <w:rFonts w:hint="default" w:ascii="Times New Roman" w:hAnsi="Times New Roman" w:cs="Times New Roman"/>
      <w:color w:val="000000"/>
      <w:sz w:val="24"/>
      <w:szCs w:val="24"/>
      <w:u w:val="none"/>
    </w:rPr>
  </w:style>
  <w:style w:type="character" w:customStyle="1" w:styleId="106">
    <w:name w:val="标题3 Char2"/>
    <w:uiPriority w:val="0"/>
    <w:rPr>
      <w:rFonts w:eastAsia="仿宋_GB2312"/>
      <w:bCs/>
      <w:kern w:val="2"/>
      <w:sz w:val="28"/>
      <w:szCs w:val="32"/>
      <w:lang w:val="en-US" w:eastAsia="zh-CN" w:bidi="ar-SA"/>
    </w:rPr>
  </w:style>
  <w:style w:type="character" w:customStyle="1" w:styleId="107">
    <w:name w:val="Subtle Reference"/>
    <w:qFormat/>
    <w:uiPriority w:val="31"/>
    <w:rPr>
      <w:smallCaps/>
      <w:color w:val="C0504D"/>
      <w:u w:val="single"/>
    </w:rPr>
  </w:style>
  <w:style w:type="character" w:customStyle="1" w:styleId="108">
    <w:name w:val="标题4 Char4"/>
    <w:uiPriority w:val="0"/>
    <w:rPr>
      <w:rFonts w:eastAsia="宋体"/>
      <w:sz w:val="24"/>
      <w:szCs w:val="24"/>
      <w:lang w:val="en-US" w:eastAsia="zh-CN" w:bidi="ar-SA"/>
    </w:rPr>
  </w:style>
  <w:style w:type="character" w:customStyle="1" w:styleId="109">
    <w:name w:val="标题4 Char3"/>
    <w:uiPriority w:val="0"/>
    <w:rPr>
      <w:rFonts w:eastAsia="宋体"/>
      <w:sz w:val="24"/>
      <w:szCs w:val="24"/>
      <w:lang w:val="en-US" w:eastAsia="zh-CN" w:bidi="ar-SA"/>
    </w:rPr>
  </w:style>
  <w:style w:type="character" w:customStyle="1" w:styleId="110">
    <w:name w:val="明显引用 Char"/>
    <w:uiPriority w:val="30"/>
    <w:rPr>
      <w:b/>
      <w:bCs/>
      <w:i/>
      <w:iCs/>
      <w:color w:val="4F81BD"/>
    </w:rPr>
  </w:style>
  <w:style w:type="paragraph" w:styleId="111">
    <w:name w:val="Intense Quote"/>
    <w:basedOn w:val="1"/>
    <w:next w:val="1"/>
    <w:link w:val="184"/>
    <w:qFormat/>
    <w:uiPriority w:val="3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12">
    <w:name w:val="Char Char11"/>
    <w:qFormat/>
    <w:uiPriority w:val="0"/>
    <w:rPr>
      <w:rFonts w:ascii="宋体" w:hAnsi="Courier New" w:eastAsia="宋体"/>
      <w:kern w:val="2"/>
      <w:sz w:val="24"/>
      <w:szCs w:val="24"/>
      <w:lang w:val="en-US" w:eastAsia="zh-CN" w:bidi="ar-SA"/>
    </w:rPr>
  </w:style>
  <w:style w:type="character" w:customStyle="1" w:styleId="113">
    <w:name w:val="文档结构图 Char1"/>
    <w:qFormat/>
    <w:uiPriority w:val="0"/>
    <w:rPr>
      <w:rFonts w:ascii="宋体"/>
      <w:kern w:val="2"/>
      <w:sz w:val="18"/>
      <w:szCs w:val="18"/>
    </w:rPr>
  </w:style>
  <w:style w:type="character" w:customStyle="1" w:styleId="114">
    <w:name w:val="font31"/>
    <w:qFormat/>
    <w:uiPriority w:val="0"/>
    <w:rPr>
      <w:rFonts w:hint="default" w:ascii="Arial" w:hAnsi="Arial" w:cs="Arial"/>
      <w:color w:val="000000"/>
      <w:sz w:val="20"/>
      <w:szCs w:val="20"/>
      <w:u w:val="none"/>
    </w:rPr>
  </w:style>
  <w:style w:type="character" w:customStyle="1" w:styleId="115">
    <w:name w:val="font171"/>
    <w:qFormat/>
    <w:uiPriority w:val="0"/>
    <w:rPr>
      <w:rFonts w:hint="eastAsia" w:ascii="宋体" w:hAnsi="宋体" w:eastAsia="宋体" w:cs="宋体"/>
      <w:color w:val="000000"/>
      <w:sz w:val="20"/>
      <w:szCs w:val="20"/>
      <w:u w:val="none"/>
    </w:rPr>
  </w:style>
  <w:style w:type="character" w:customStyle="1" w:styleId="116">
    <w:name w:val="副标题 Char"/>
    <w:link w:val="34"/>
    <w:qFormat/>
    <w:uiPriority w:val="0"/>
    <w:rPr>
      <w:rFonts w:ascii="Cambria" w:hAnsi="Cambria"/>
      <w:b/>
      <w:bCs/>
      <w:kern w:val="28"/>
      <w:sz w:val="32"/>
      <w:szCs w:val="32"/>
    </w:rPr>
  </w:style>
  <w:style w:type="character" w:customStyle="1" w:styleId="117">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118">
    <w:name w:val="正文文本缩进 2 Char"/>
    <w:link w:val="27"/>
    <w:qFormat/>
    <w:uiPriority w:val="0"/>
    <w:rPr>
      <w:rFonts w:eastAsia="宋体"/>
      <w:szCs w:val="24"/>
    </w:rPr>
  </w:style>
  <w:style w:type="character" w:customStyle="1" w:styleId="119">
    <w:name w:val="正文缩进 Char Char Char"/>
    <w:qFormat/>
    <w:uiPriority w:val="0"/>
    <w:rPr>
      <w:rFonts w:eastAsia="宋体"/>
      <w:sz w:val="24"/>
      <w:szCs w:val="24"/>
      <w:lang w:val="en-US" w:eastAsia="zh-CN" w:bidi="ar-SA"/>
    </w:rPr>
  </w:style>
  <w:style w:type="character" w:customStyle="1" w:styleId="120">
    <w:name w:val="日期 Char1"/>
    <w:qFormat/>
    <w:uiPriority w:val="0"/>
    <w:rPr>
      <w:kern w:val="2"/>
      <w:sz w:val="21"/>
      <w:szCs w:val="22"/>
    </w:rPr>
  </w:style>
  <w:style w:type="character" w:customStyle="1" w:styleId="121">
    <w:name w:val="font11"/>
    <w:qFormat/>
    <w:uiPriority w:val="0"/>
    <w:rPr>
      <w:rFonts w:hint="default" w:ascii="Times New Roman" w:hAnsi="Times New Roman" w:cs="Times New Roman"/>
      <w:color w:val="000000"/>
      <w:sz w:val="21"/>
      <w:szCs w:val="21"/>
      <w:u w:val="none"/>
    </w:rPr>
  </w:style>
  <w:style w:type="character" w:customStyle="1" w:styleId="122">
    <w:name w:val="font71"/>
    <w:qFormat/>
    <w:uiPriority w:val="0"/>
    <w:rPr>
      <w:rFonts w:hint="default" w:ascii="Times New Roman" w:hAnsi="Times New Roman" w:cs="Times New Roman"/>
      <w:color w:val="000000"/>
      <w:sz w:val="18"/>
      <w:szCs w:val="18"/>
      <w:u w:val="none"/>
    </w:rPr>
  </w:style>
  <w:style w:type="character" w:customStyle="1" w:styleId="123">
    <w:name w:val="spantitle"/>
    <w:qFormat/>
    <w:uiPriority w:val="0"/>
    <w:rPr>
      <w:szCs w:val="24"/>
    </w:rPr>
  </w:style>
  <w:style w:type="character" w:customStyle="1" w:styleId="124">
    <w:name w:val="标题3 Char1"/>
    <w:qFormat/>
    <w:uiPriority w:val="0"/>
    <w:rPr>
      <w:rFonts w:eastAsia="仿宋_GB2312"/>
      <w:bCs/>
      <w:kern w:val="2"/>
      <w:sz w:val="28"/>
      <w:szCs w:val="32"/>
      <w:lang w:val="en-US" w:eastAsia="zh-CN" w:bidi="ar-SA"/>
    </w:rPr>
  </w:style>
  <w:style w:type="character" w:customStyle="1" w:styleId="125">
    <w:name w:val="正文文本 (3)_"/>
    <w:link w:val="126"/>
    <w:qFormat/>
    <w:uiPriority w:val="0"/>
    <w:rPr>
      <w:rFonts w:ascii="宋体"/>
      <w:szCs w:val="24"/>
      <w:shd w:val="clear" w:color="auto" w:fill="FFFFFF"/>
    </w:rPr>
  </w:style>
  <w:style w:type="paragraph" w:customStyle="1" w:styleId="126">
    <w:name w:val="正文文本 (3)1"/>
    <w:basedOn w:val="1"/>
    <w:link w:val="125"/>
    <w:qFormat/>
    <w:uiPriority w:val="0"/>
    <w:pPr>
      <w:shd w:val="clear" w:color="auto" w:fill="FFFFFF"/>
      <w:spacing w:line="240" w:lineRule="atLeast"/>
      <w:jc w:val="left"/>
    </w:pPr>
    <w:rPr>
      <w:rFonts w:ascii="宋体" w:hAnsiTheme="minorHAnsi" w:eastAsiaTheme="minorEastAsia" w:cstheme="minorBidi"/>
      <w:szCs w:val="24"/>
      <w:shd w:val="clear" w:color="auto" w:fill="FFFFFF"/>
    </w:rPr>
  </w:style>
  <w:style w:type="character" w:customStyle="1" w:styleId="127">
    <w:name w:val="font51"/>
    <w:qFormat/>
    <w:uiPriority w:val="0"/>
    <w:rPr>
      <w:rFonts w:hint="eastAsia" w:ascii="宋体" w:hAnsi="宋体" w:eastAsia="宋体" w:cs="宋体"/>
      <w:color w:val="000000"/>
      <w:sz w:val="21"/>
      <w:szCs w:val="21"/>
      <w:u w:val="none"/>
    </w:rPr>
  </w:style>
  <w:style w:type="character" w:customStyle="1" w:styleId="128">
    <w:name w:val="textcontents"/>
    <w:qFormat/>
    <w:uiPriority w:val="0"/>
    <w:rPr>
      <w:szCs w:val="24"/>
    </w:rPr>
  </w:style>
  <w:style w:type="character" w:customStyle="1" w:styleId="129">
    <w:name w:val="标题3 Char Char"/>
    <w:qFormat/>
    <w:uiPriority w:val="0"/>
    <w:rPr>
      <w:rFonts w:eastAsia="仿宋_GB2312"/>
      <w:bCs/>
      <w:kern w:val="2"/>
      <w:sz w:val="28"/>
      <w:szCs w:val="32"/>
      <w:lang w:val="en-US" w:eastAsia="zh-CN" w:bidi="ar-SA"/>
    </w:rPr>
  </w:style>
  <w:style w:type="character" w:customStyle="1" w:styleId="130">
    <w:name w:val="Intense Reference"/>
    <w:qFormat/>
    <w:uiPriority w:val="32"/>
    <w:rPr>
      <w:b/>
      <w:bCs/>
      <w:smallCaps/>
      <w:color w:val="C0504D"/>
      <w:spacing w:val="5"/>
      <w:u w:val="single"/>
    </w:rPr>
  </w:style>
  <w:style w:type="character" w:customStyle="1" w:styleId="131">
    <w:name w:val="副标题 Char1"/>
    <w:qFormat/>
    <w:uiPriority w:val="0"/>
    <w:rPr>
      <w:rFonts w:ascii="Cambria" w:hAnsi="Cambria" w:cs="Times New Roman"/>
      <w:b/>
      <w:bCs/>
      <w:kern w:val="28"/>
      <w:sz w:val="32"/>
      <w:szCs w:val="32"/>
    </w:rPr>
  </w:style>
  <w:style w:type="character" w:customStyle="1" w:styleId="132">
    <w:name w:val="font91"/>
    <w:qFormat/>
    <w:uiPriority w:val="0"/>
    <w:rPr>
      <w:rFonts w:hint="eastAsia" w:ascii="宋体" w:hAnsi="宋体" w:eastAsia="宋体" w:cs="宋体"/>
      <w:color w:val="000000"/>
      <w:sz w:val="18"/>
      <w:szCs w:val="18"/>
      <w:u w:val="none"/>
    </w:rPr>
  </w:style>
  <w:style w:type="character" w:customStyle="1" w:styleId="133">
    <w:name w:val="引用 Char1"/>
    <w:qFormat/>
    <w:uiPriority w:val="0"/>
    <w:rPr>
      <w:i/>
      <w:iCs/>
      <w:color w:val="000000"/>
      <w:kern w:val="2"/>
      <w:sz w:val="21"/>
      <w:szCs w:val="24"/>
    </w:rPr>
  </w:style>
  <w:style w:type="character" w:customStyle="1" w:styleId="134">
    <w:name w:val="批注主题 Char1"/>
    <w:qFormat/>
    <w:uiPriority w:val="0"/>
    <w:rPr>
      <w:b/>
      <w:bCs/>
      <w:kern w:val="2"/>
      <w:sz w:val="21"/>
      <w:szCs w:val="22"/>
    </w:rPr>
  </w:style>
  <w:style w:type="character" w:customStyle="1" w:styleId="135">
    <w:name w:val="Variable"/>
    <w:qFormat/>
    <w:uiPriority w:val="0"/>
    <w:rPr>
      <w:i/>
    </w:rPr>
  </w:style>
  <w:style w:type="character" w:customStyle="1" w:styleId="136">
    <w:name w:val="font61"/>
    <w:qFormat/>
    <w:uiPriority w:val="0"/>
    <w:rPr>
      <w:rFonts w:hint="eastAsia" w:ascii="黑体" w:hAnsi="宋体" w:eastAsia="黑体" w:cs="黑体"/>
      <w:color w:val="000000"/>
      <w:sz w:val="20"/>
      <w:szCs w:val="20"/>
      <w:u w:val="none"/>
    </w:rPr>
  </w:style>
  <w:style w:type="character" w:customStyle="1" w:styleId="137">
    <w:name w:val="标题4 Char1"/>
    <w:qFormat/>
    <w:uiPriority w:val="0"/>
    <w:rPr>
      <w:rFonts w:eastAsia="宋体"/>
      <w:sz w:val="24"/>
      <w:szCs w:val="24"/>
      <w:lang w:val="en-US" w:eastAsia="zh-CN" w:bidi="ar-SA"/>
    </w:rPr>
  </w:style>
  <w:style w:type="character" w:customStyle="1" w:styleId="138">
    <w:name w:val="批注框文本 Char1"/>
    <w:qFormat/>
    <w:uiPriority w:val="0"/>
    <w:rPr>
      <w:kern w:val="2"/>
      <w:sz w:val="18"/>
      <w:szCs w:val="18"/>
    </w:rPr>
  </w:style>
  <w:style w:type="character" w:customStyle="1" w:styleId="139">
    <w:name w:val="表格文字 Char Char"/>
    <w:qFormat/>
    <w:uiPriority w:val="0"/>
    <w:rPr>
      <w:rFonts w:ascii="宋体" w:hAnsi="宋体" w:eastAsia="宋体"/>
      <w:kern w:val="2"/>
      <w:sz w:val="21"/>
      <w:szCs w:val="24"/>
      <w:lang w:val="en-US" w:eastAsia="zh-CN" w:bidi="ar-SA"/>
    </w:rPr>
  </w:style>
  <w:style w:type="character" w:customStyle="1" w:styleId="140">
    <w:name w:val="Char Char18"/>
    <w:qFormat/>
    <w:uiPriority w:val="0"/>
    <w:rPr>
      <w:b/>
      <w:bCs/>
      <w:kern w:val="44"/>
      <w:sz w:val="44"/>
      <w:szCs w:val="44"/>
    </w:rPr>
  </w:style>
  <w:style w:type="character" w:customStyle="1" w:styleId="141">
    <w:name w:val="正文文本 Char2"/>
    <w:qFormat/>
    <w:uiPriority w:val="0"/>
    <w:rPr>
      <w:rFonts w:eastAsia="宋体"/>
      <w:kern w:val="2"/>
      <w:sz w:val="21"/>
      <w:szCs w:val="24"/>
      <w:lang w:val="en-US" w:eastAsia="zh-CN" w:bidi="ar-SA"/>
    </w:rPr>
  </w:style>
  <w:style w:type="character" w:customStyle="1" w:styleId="142">
    <w:name w:val="Char Char8"/>
    <w:qFormat/>
    <w:uiPriority w:val="0"/>
    <w:rPr>
      <w:rFonts w:eastAsia="宋体"/>
      <w:kern w:val="2"/>
      <w:sz w:val="18"/>
      <w:szCs w:val="18"/>
      <w:lang w:val="en-US" w:eastAsia="zh-CN" w:bidi="ar-SA"/>
    </w:rPr>
  </w:style>
  <w:style w:type="character" w:customStyle="1" w:styleId="143">
    <w:name w:val="标题4 Char2"/>
    <w:qFormat/>
    <w:uiPriority w:val="0"/>
    <w:rPr>
      <w:rFonts w:eastAsia="宋体"/>
      <w:sz w:val="24"/>
      <w:szCs w:val="24"/>
      <w:lang w:val="en-US" w:eastAsia="zh-CN" w:bidi="ar-SA"/>
    </w:rPr>
  </w:style>
  <w:style w:type="character" w:customStyle="1" w:styleId="144">
    <w:name w:val="标题2 Char Char"/>
    <w:link w:val="145"/>
    <w:qFormat/>
    <w:uiPriority w:val="0"/>
    <w:rPr>
      <w:rFonts w:eastAsia="仿宋_GB2312"/>
      <w:b/>
      <w:bCs/>
      <w:color w:val="000000"/>
      <w:kern w:val="44"/>
      <w:sz w:val="32"/>
      <w:szCs w:val="44"/>
    </w:rPr>
  </w:style>
  <w:style w:type="paragraph" w:customStyle="1" w:styleId="145">
    <w:name w:val="标题2 Char"/>
    <w:basedOn w:val="3"/>
    <w:link w:val="144"/>
    <w:qFormat/>
    <w:uiPriority w:val="0"/>
    <w:pPr>
      <w:spacing w:before="0" w:after="0"/>
      <w:jc w:val="center"/>
    </w:pPr>
    <w:rPr>
      <w:rFonts w:eastAsia="仿宋_GB2312" w:asciiTheme="minorHAnsi" w:hAnsiTheme="minorHAnsi" w:cstheme="minorBidi"/>
      <w:color w:val="000000"/>
      <w:sz w:val="32"/>
    </w:rPr>
  </w:style>
  <w:style w:type="character" w:customStyle="1" w:styleId="146">
    <w:name w:val="正文文本 (3)5"/>
    <w:qFormat/>
    <w:uiPriority w:val="0"/>
    <w:rPr>
      <w:rFonts w:ascii="宋体" w:cs="宋体"/>
      <w:szCs w:val="24"/>
      <w:shd w:val="clear" w:color="auto" w:fill="FFFFFF"/>
      <w:lang w:bidi="ar-SA"/>
    </w:rPr>
  </w:style>
  <w:style w:type="character" w:customStyle="1" w:styleId="147">
    <w:name w:val="nbsp"/>
    <w:qFormat/>
    <w:uiPriority w:val="0"/>
    <w:rPr>
      <w:szCs w:val="24"/>
    </w:rPr>
  </w:style>
  <w:style w:type="character" w:customStyle="1" w:styleId="148">
    <w:name w:val="Book Title"/>
    <w:qFormat/>
    <w:uiPriority w:val="33"/>
    <w:rPr>
      <w:b/>
      <w:bCs/>
      <w:smallCaps/>
      <w:spacing w:val="5"/>
    </w:rPr>
  </w:style>
  <w:style w:type="character" w:customStyle="1" w:styleId="149">
    <w:name w:val="表格文字 Char"/>
    <w:qFormat/>
    <w:uiPriority w:val="0"/>
    <w:rPr>
      <w:rFonts w:ascii="宋体" w:hAnsi="宋体" w:eastAsia="宋体"/>
      <w:kern w:val="2"/>
      <w:sz w:val="21"/>
      <w:szCs w:val="24"/>
      <w:lang w:val="en-US" w:eastAsia="zh-CN" w:bidi="ar-SA"/>
    </w:rPr>
  </w:style>
  <w:style w:type="character" w:customStyle="1" w:styleId="150">
    <w:name w:val="Char Char20"/>
    <w:qFormat/>
    <w:uiPriority w:val="0"/>
    <w:rPr>
      <w:kern w:val="2"/>
      <w:sz w:val="18"/>
      <w:szCs w:val="18"/>
    </w:rPr>
  </w:style>
  <w:style w:type="character" w:customStyle="1" w:styleId="151">
    <w:name w:val="font161"/>
    <w:qFormat/>
    <w:uiPriority w:val="0"/>
    <w:rPr>
      <w:b/>
      <w:bCs/>
      <w:sz w:val="32"/>
      <w:szCs w:val="32"/>
    </w:rPr>
  </w:style>
  <w:style w:type="character" w:customStyle="1" w:styleId="152">
    <w:name w:val="标题 Char"/>
    <w:link w:val="40"/>
    <w:qFormat/>
    <w:uiPriority w:val="0"/>
    <w:rPr>
      <w:rFonts w:ascii="Arial" w:hAnsi="Arial" w:eastAsia="宋体"/>
      <w:b/>
      <w:sz w:val="32"/>
    </w:rPr>
  </w:style>
  <w:style w:type="character" w:customStyle="1" w:styleId="153">
    <w:name w:val="font21"/>
    <w:qFormat/>
    <w:uiPriority w:val="0"/>
    <w:rPr>
      <w:rFonts w:hint="eastAsia" w:ascii="宋体" w:hAnsi="宋体" w:eastAsia="宋体" w:cs="宋体"/>
      <w:color w:val="000000"/>
      <w:sz w:val="20"/>
      <w:szCs w:val="20"/>
      <w:u w:val="none"/>
    </w:rPr>
  </w:style>
  <w:style w:type="character" w:customStyle="1" w:styleId="154">
    <w:name w:val="正文文本缩进 3 Char1"/>
    <w:basedOn w:val="46"/>
    <w:link w:val="36"/>
    <w:semiHidden/>
    <w:qFormat/>
    <w:uiPriority w:val="99"/>
    <w:rPr>
      <w:rFonts w:ascii="Times New Roman" w:hAnsi="Times New Roman" w:eastAsia="宋体" w:cs="Times New Roman"/>
      <w:sz w:val="16"/>
      <w:szCs w:val="16"/>
    </w:rPr>
  </w:style>
  <w:style w:type="character" w:customStyle="1" w:styleId="155">
    <w:name w:val="批注文字 Char1"/>
    <w:basedOn w:val="46"/>
    <w:link w:val="17"/>
    <w:semiHidden/>
    <w:qFormat/>
    <w:uiPriority w:val="99"/>
    <w:rPr>
      <w:rFonts w:ascii="Times New Roman" w:hAnsi="Times New Roman" w:eastAsia="宋体" w:cs="Times New Roman"/>
      <w:szCs w:val="20"/>
    </w:rPr>
  </w:style>
  <w:style w:type="character" w:customStyle="1" w:styleId="156">
    <w:name w:val="标题 Char1"/>
    <w:basedOn w:val="46"/>
    <w:link w:val="40"/>
    <w:qFormat/>
    <w:uiPriority w:val="10"/>
    <w:rPr>
      <w:rFonts w:eastAsia="宋体" w:asciiTheme="majorHAnsi" w:hAnsiTheme="majorHAnsi" w:cstheme="majorBidi"/>
      <w:b/>
      <w:bCs/>
      <w:sz w:val="32"/>
      <w:szCs w:val="32"/>
    </w:rPr>
  </w:style>
  <w:style w:type="character" w:customStyle="1" w:styleId="157">
    <w:name w:val="批注主题 Char2"/>
    <w:basedOn w:val="155"/>
    <w:link w:val="41"/>
    <w:semiHidden/>
    <w:qFormat/>
    <w:uiPriority w:val="99"/>
    <w:rPr>
      <w:b/>
      <w:bCs/>
    </w:rPr>
  </w:style>
  <w:style w:type="character" w:customStyle="1" w:styleId="158">
    <w:name w:val="副标题 Char2"/>
    <w:basedOn w:val="46"/>
    <w:link w:val="34"/>
    <w:qFormat/>
    <w:uiPriority w:val="11"/>
    <w:rPr>
      <w:rFonts w:eastAsia="宋体" w:asciiTheme="majorHAnsi" w:hAnsiTheme="majorHAnsi" w:cstheme="majorBidi"/>
      <w:b/>
      <w:bCs/>
      <w:kern w:val="28"/>
      <w:sz w:val="32"/>
      <w:szCs w:val="32"/>
    </w:rPr>
  </w:style>
  <w:style w:type="character" w:customStyle="1" w:styleId="159">
    <w:name w:val="日期 Char2"/>
    <w:basedOn w:val="46"/>
    <w:link w:val="26"/>
    <w:semiHidden/>
    <w:qFormat/>
    <w:uiPriority w:val="99"/>
    <w:rPr>
      <w:rFonts w:ascii="Times New Roman" w:hAnsi="Times New Roman" w:eastAsia="宋体" w:cs="Times New Roman"/>
      <w:szCs w:val="20"/>
    </w:rPr>
  </w:style>
  <w:style w:type="character" w:customStyle="1" w:styleId="160">
    <w:name w:val="正文文本 3 Char1"/>
    <w:basedOn w:val="46"/>
    <w:link w:val="18"/>
    <w:semiHidden/>
    <w:qFormat/>
    <w:uiPriority w:val="99"/>
    <w:rPr>
      <w:rFonts w:ascii="Times New Roman" w:hAnsi="Times New Roman" w:eastAsia="宋体" w:cs="Times New Roman"/>
      <w:sz w:val="16"/>
      <w:szCs w:val="16"/>
    </w:rPr>
  </w:style>
  <w:style w:type="character" w:customStyle="1" w:styleId="161">
    <w:name w:val="文档结构图 Char2"/>
    <w:basedOn w:val="46"/>
    <w:link w:val="15"/>
    <w:semiHidden/>
    <w:qFormat/>
    <w:uiPriority w:val="99"/>
    <w:rPr>
      <w:rFonts w:ascii="宋体" w:hAnsi="Times New Roman" w:eastAsia="宋体" w:cs="Times New Roman"/>
      <w:sz w:val="18"/>
      <w:szCs w:val="18"/>
    </w:rPr>
  </w:style>
  <w:style w:type="character" w:customStyle="1" w:styleId="162">
    <w:name w:val="批注框文本 Char2"/>
    <w:basedOn w:val="46"/>
    <w:link w:val="28"/>
    <w:semiHidden/>
    <w:qFormat/>
    <w:uiPriority w:val="99"/>
    <w:rPr>
      <w:rFonts w:ascii="Times New Roman" w:hAnsi="Times New Roman" w:eastAsia="宋体" w:cs="Times New Roman"/>
      <w:sz w:val="18"/>
      <w:szCs w:val="18"/>
    </w:rPr>
  </w:style>
  <w:style w:type="character" w:customStyle="1" w:styleId="163">
    <w:name w:val="正文文本缩进 2 Char1"/>
    <w:basedOn w:val="46"/>
    <w:link w:val="27"/>
    <w:semiHidden/>
    <w:qFormat/>
    <w:uiPriority w:val="99"/>
    <w:rPr>
      <w:rFonts w:ascii="Times New Roman" w:hAnsi="Times New Roman" w:eastAsia="宋体" w:cs="Times New Roman"/>
      <w:szCs w:val="20"/>
    </w:rPr>
  </w:style>
  <w:style w:type="paragraph" w:customStyle="1" w:styleId="164">
    <w:name w:val="标题2"/>
    <w:basedOn w:val="3"/>
    <w:qFormat/>
    <w:uiPriority w:val="0"/>
    <w:pPr>
      <w:spacing w:before="0" w:after="0" w:line="576" w:lineRule="auto"/>
      <w:jc w:val="center"/>
    </w:pPr>
    <w:rPr>
      <w:rFonts w:eastAsia="仿宋_GB2312"/>
      <w:color w:val="000000"/>
      <w:sz w:val="32"/>
    </w:rPr>
  </w:style>
  <w:style w:type="paragraph" w:customStyle="1" w:styleId="165">
    <w:name w:val="Char Char Char Char Char Char1 Char Char Char Char Char Char Char"/>
    <w:basedOn w:val="1"/>
    <w:qFormat/>
    <w:uiPriority w:val="0"/>
    <w:rPr>
      <w:szCs w:val="24"/>
    </w:rPr>
  </w:style>
  <w:style w:type="paragraph" w:customStyle="1" w:styleId="166">
    <w:name w:val="Char2"/>
    <w:basedOn w:val="1"/>
    <w:qFormat/>
    <w:uiPriority w:val="0"/>
    <w:rPr>
      <w:rFonts w:ascii="Tahoma" w:hAnsi="Tahoma"/>
      <w:sz w:val="24"/>
    </w:rPr>
  </w:style>
  <w:style w:type="paragraph" w:customStyle="1" w:styleId="167">
    <w:name w:val="Char Char Char Char Char Char1 Char Char Char Char Char Char Char Char Char Char Char Char Char Char Char Char Char Char Char Char Char Char1"/>
    <w:basedOn w:val="1"/>
    <w:qFormat/>
    <w:uiPriority w:val="0"/>
    <w:rPr>
      <w:szCs w:val="24"/>
    </w:rPr>
  </w:style>
  <w:style w:type="paragraph" w:customStyle="1" w:styleId="168">
    <w:name w:val="Char Char Char Char Char Char Char Char Char Char Char Char Char"/>
    <w:basedOn w:val="1"/>
    <w:qFormat/>
    <w:uiPriority w:val="0"/>
  </w:style>
  <w:style w:type="paragraph" w:customStyle="1" w:styleId="169">
    <w:name w:val="p15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0">
    <w:name w:val="Char Char Char Char Char Char1 Char Char Char Char Char Char Char Char Char Char Char Char Char"/>
    <w:basedOn w:val="1"/>
    <w:qFormat/>
    <w:uiPriority w:val="0"/>
    <w:rPr>
      <w:szCs w:val="24"/>
    </w:rPr>
  </w:style>
  <w:style w:type="paragraph" w:customStyle="1" w:styleId="171">
    <w:name w:val="Char1"/>
    <w:basedOn w:val="1"/>
    <w:qFormat/>
    <w:uiPriority w:val="0"/>
    <w:pPr>
      <w:tabs>
        <w:tab w:val="left" w:pos="840"/>
      </w:tabs>
      <w:ind w:left="840" w:hanging="420"/>
    </w:pPr>
    <w:rPr>
      <w:sz w:val="24"/>
      <w:szCs w:val="24"/>
    </w:rPr>
  </w:style>
  <w:style w:type="paragraph" w:customStyle="1" w:styleId="17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7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74">
    <w:name w:val="Char Char Char Char Char Char1 Char Char Char Char Char Char Char1"/>
    <w:basedOn w:val="1"/>
    <w:qFormat/>
    <w:uiPriority w:val="0"/>
    <w:rPr>
      <w:szCs w:val="24"/>
    </w:rPr>
  </w:style>
  <w:style w:type="paragraph" w:customStyle="1" w:styleId="175">
    <w:name w:val="样式 标题 3 + (中文) 黑体 小四 非加粗 段前: 7.8 磅 段后: 0 磅 行距: 固定值 20 磅"/>
    <w:basedOn w:val="5"/>
    <w:qFormat/>
    <w:uiPriority w:val="0"/>
    <w:pPr>
      <w:spacing w:before="0" w:after="0" w:line="400" w:lineRule="exact"/>
    </w:pPr>
    <w:rPr>
      <w:rFonts w:eastAsia="黑体" w:cs="宋体"/>
      <w:bCs w:val="0"/>
      <w:kern w:val="0"/>
      <w:sz w:val="24"/>
      <w:szCs w:val="20"/>
    </w:rPr>
  </w:style>
  <w:style w:type="paragraph" w:customStyle="1" w:styleId="176">
    <w:name w:val="一级目录"/>
    <w:next w:val="1"/>
    <w:qFormat/>
    <w:uiPriority w:val="0"/>
    <w:pPr>
      <w:spacing w:afterLines="100"/>
      <w:jc w:val="center"/>
      <w:outlineLvl w:val="0"/>
    </w:pPr>
    <w:rPr>
      <w:rFonts w:ascii="黑体" w:hAnsi="Times New Roman" w:eastAsia="黑体" w:cs="Times New Roman"/>
      <w:b/>
      <w:kern w:val="2"/>
      <w:sz w:val="44"/>
      <w:szCs w:val="44"/>
      <w:lang w:val="en-US" w:eastAsia="zh-CN" w:bidi="ar-SA"/>
    </w:rPr>
  </w:style>
  <w:style w:type="paragraph" w:customStyle="1" w:styleId="177">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78">
    <w:name w:val="默认段落字体 Para Char Char Char Char Char Char Char Char Char Char Char Char Char"/>
    <w:basedOn w:val="1"/>
    <w:qFormat/>
    <w:uiPriority w:val="0"/>
  </w:style>
  <w:style w:type="paragraph" w:customStyle="1" w:styleId="179">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80">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181">
    <w:name w:val="二级目录"/>
    <w:next w:val="1"/>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paragraph" w:customStyle="1" w:styleId="182">
    <w:name w:val="默认段落字体 Para Char Char Char Char"/>
    <w:basedOn w:val="1"/>
    <w:qFormat/>
    <w:uiPriority w:val="0"/>
    <w:rPr>
      <w:szCs w:val="24"/>
    </w:rPr>
  </w:style>
  <w:style w:type="paragraph" w:customStyle="1" w:styleId="183">
    <w:name w:val="Char Char Char Char Char Char Char Char Char Char1"/>
    <w:basedOn w:val="1"/>
    <w:qFormat/>
    <w:uiPriority w:val="0"/>
  </w:style>
  <w:style w:type="character" w:customStyle="1" w:styleId="184">
    <w:name w:val="明显引用 Char2"/>
    <w:basedOn w:val="46"/>
    <w:link w:val="111"/>
    <w:qFormat/>
    <w:uiPriority w:val="30"/>
    <w:rPr>
      <w:rFonts w:ascii="Times New Roman" w:hAnsi="Times New Roman" w:eastAsia="宋体" w:cs="Times New Roman"/>
      <w:b/>
      <w:bCs/>
      <w:i/>
      <w:iCs/>
      <w:color w:val="4F81BD" w:themeColor="accent1"/>
      <w:szCs w:val="20"/>
    </w:rPr>
  </w:style>
  <w:style w:type="paragraph" w:customStyle="1" w:styleId="185">
    <w:name w:val="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86">
    <w:name w:val="Char Char Char Char Char Char1 Char"/>
    <w:basedOn w:val="1"/>
    <w:qFormat/>
    <w:uiPriority w:val="0"/>
    <w:rPr>
      <w:szCs w:val="24"/>
    </w:rPr>
  </w:style>
  <w:style w:type="paragraph" w:customStyle="1" w:styleId="187">
    <w:name w:val="批注文字1"/>
    <w:basedOn w:val="1"/>
    <w:unhideWhenUsed/>
    <w:qFormat/>
    <w:uiPriority w:val="0"/>
    <w:rPr>
      <w:sz w:val="20"/>
    </w:rPr>
  </w:style>
  <w:style w:type="paragraph" w:customStyle="1" w:styleId="188">
    <w:name w:val="样式 标题 2 + 黑色 行距: 1.5 倍行距"/>
    <w:basedOn w:val="4"/>
    <w:qFormat/>
    <w:uiPriority w:val="0"/>
    <w:pPr>
      <w:spacing w:before="260" w:after="260" w:line="360" w:lineRule="auto"/>
    </w:pPr>
    <w:rPr>
      <w:rFonts w:eastAsia="宋体" w:cs="宋体"/>
      <w:b/>
      <w:color w:val="000000"/>
      <w:szCs w:val="20"/>
    </w:rPr>
  </w:style>
  <w:style w:type="paragraph" w:customStyle="1" w:styleId="189">
    <w:name w:val="表格"/>
    <w:basedOn w:val="1"/>
    <w:qFormat/>
    <w:uiPriority w:val="0"/>
    <w:pPr>
      <w:jc w:val="center"/>
      <w:textAlignment w:val="center"/>
    </w:pPr>
    <w:rPr>
      <w:rFonts w:ascii="华文细黑" w:hAnsi="华文细黑"/>
      <w:kern w:val="0"/>
    </w:rPr>
  </w:style>
  <w:style w:type="paragraph" w:customStyle="1" w:styleId="190">
    <w:name w:val="Char Char Char1 Char"/>
    <w:basedOn w:val="1"/>
    <w:qFormat/>
    <w:uiPriority w:val="0"/>
    <w:rPr>
      <w:szCs w:val="24"/>
    </w:rPr>
  </w:style>
  <w:style w:type="paragraph" w:customStyle="1" w:styleId="191">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styleId="192">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93">
    <w:name w:val="Revision"/>
    <w:qFormat/>
    <w:uiPriority w:val="0"/>
    <w:rPr>
      <w:rFonts w:ascii="Times New Roman" w:hAnsi="Times New Roman" w:eastAsia="宋体" w:cs="Times New Roman"/>
      <w:kern w:val="2"/>
      <w:sz w:val="21"/>
      <w:szCs w:val="24"/>
      <w:lang w:val="en-US" w:eastAsia="zh-CN" w:bidi="ar-SA"/>
    </w:rPr>
  </w:style>
  <w:style w:type="paragraph" w:customStyle="1" w:styleId="194">
    <w:name w:val="TOC Heading"/>
    <w:basedOn w:val="3"/>
    <w:next w:val="1"/>
    <w:qFormat/>
    <w:uiPriority w:val="39"/>
    <w:pPr>
      <w:spacing w:line="576" w:lineRule="auto"/>
      <w:outlineLvl w:val="9"/>
    </w:pPr>
    <w:rPr>
      <w:rFonts w:ascii="Calibri" w:hAnsi="Calibri"/>
    </w:rPr>
  </w:style>
  <w:style w:type="paragraph" w:customStyle="1" w:styleId="195">
    <w:name w:val="List Paragraph1"/>
    <w:basedOn w:val="1"/>
    <w:qFormat/>
    <w:uiPriority w:val="99"/>
    <w:pPr>
      <w:ind w:firstLine="420" w:firstLineChars="200"/>
    </w:pPr>
    <w:rPr>
      <w:szCs w:val="24"/>
    </w:rPr>
  </w:style>
  <w:style w:type="paragraph" w:customStyle="1" w:styleId="196">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Char Char Char Char Char Char Char Char Char Char Char Char Char1"/>
    <w:basedOn w:val="1"/>
    <w:qFormat/>
    <w:uiPriority w:val="0"/>
  </w:style>
  <w:style w:type="paragraph" w:customStyle="1" w:styleId="198">
    <w:name w:val="Char Char Char Char Char Char1 Char Char Char Char Char Char Char Char Char Char Char Char1 Char Char Char Char"/>
    <w:basedOn w:val="1"/>
    <w:qFormat/>
    <w:uiPriority w:val="0"/>
  </w:style>
  <w:style w:type="paragraph" w:customStyle="1" w:styleId="199">
    <w:name w:val="Char Char1"/>
    <w:basedOn w:val="1"/>
    <w:qFormat/>
    <w:uiPriority w:val="0"/>
    <w:rPr>
      <w:szCs w:val="24"/>
    </w:rPr>
  </w:style>
  <w:style w:type="character" w:customStyle="1" w:styleId="200">
    <w:name w:val="引用 Char2"/>
    <w:basedOn w:val="46"/>
    <w:link w:val="101"/>
    <w:qFormat/>
    <w:uiPriority w:val="29"/>
    <w:rPr>
      <w:rFonts w:ascii="Times New Roman" w:hAnsi="Times New Roman" w:eastAsia="宋体" w:cs="Times New Roman"/>
      <w:i/>
      <w:iCs/>
      <w:color w:val="000000" w:themeColor="text1"/>
      <w:szCs w:val="20"/>
    </w:rPr>
  </w:style>
  <w:style w:type="paragraph" w:customStyle="1" w:styleId="201">
    <w:name w:val="Char Char Char Char Char Char Char"/>
    <w:basedOn w:val="1"/>
    <w:qFormat/>
    <w:uiPriority w:val="0"/>
    <w:rPr>
      <w:szCs w:val="24"/>
    </w:rPr>
  </w:style>
  <w:style w:type="paragraph" w:customStyle="1" w:styleId="202">
    <w:name w:val="Char"/>
    <w:basedOn w:val="1"/>
    <w:qFormat/>
    <w:uiPriority w:val="0"/>
    <w:rPr>
      <w:rFonts w:ascii="Tahoma" w:hAnsi="Tahoma"/>
      <w:sz w:val="24"/>
    </w:rPr>
  </w:style>
  <w:style w:type="paragraph" w:customStyle="1" w:styleId="20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04">
    <w:name w:val="Char Char Char Char Char Char1 Char Char Char Char Char Char Char Char Char Char Char Char Char Char Char Char Char Char Char Char Char Char"/>
    <w:basedOn w:val="1"/>
    <w:qFormat/>
    <w:uiPriority w:val="0"/>
    <w:rPr>
      <w:szCs w:val="24"/>
    </w:rPr>
  </w:style>
  <w:style w:type="paragraph" w:customStyle="1" w:styleId="205">
    <w:name w:val="表格文字"/>
    <w:basedOn w:val="1"/>
    <w:qFormat/>
    <w:uiPriority w:val="0"/>
    <w:pPr>
      <w:adjustRightInd w:val="0"/>
      <w:spacing w:line="420" w:lineRule="atLeast"/>
      <w:jc w:val="left"/>
      <w:textAlignment w:val="baseline"/>
    </w:pPr>
    <w:rPr>
      <w:kern w:val="0"/>
    </w:rPr>
  </w:style>
  <w:style w:type="paragraph" w:customStyle="1" w:styleId="206">
    <w:name w:val="Char Char Char Char"/>
    <w:basedOn w:val="15"/>
    <w:qFormat/>
    <w:uiPriority w:val="0"/>
    <w:rPr>
      <w:sz w:val="28"/>
    </w:rPr>
  </w:style>
  <w:style w:type="paragraph" w:customStyle="1" w:styleId="207">
    <w:name w:val="Char Char Char Char Char Char1 Char Char Char11"/>
    <w:basedOn w:val="1"/>
    <w:qFormat/>
    <w:uiPriority w:val="0"/>
    <w:rPr>
      <w:szCs w:val="24"/>
    </w:rPr>
  </w:style>
  <w:style w:type="paragraph" w:customStyle="1" w:styleId="208">
    <w:name w:val="纯文本1"/>
    <w:basedOn w:val="1"/>
    <w:qFormat/>
    <w:uiPriority w:val="0"/>
    <w:rPr>
      <w:rFonts w:ascii="宋体" w:hAnsi="Courier New"/>
      <w:sz w:val="28"/>
      <w:szCs w:val="24"/>
    </w:rPr>
  </w:style>
  <w:style w:type="paragraph" w:customStyle="1" w:styleId="209">
    <w:name w:val="Char Char Char"/>
    <w:basedOn w:val="1"/>
    <w:qFormat/>
    <w:uiPriority w:val="0"/>
    <w:rPr>
      <w:szCs w:val="24"/>
    </w:rPr>
  </w:style>
  <w:style w:type="paragraph" w:customStyle="1" w:styleId="210">
    <w:name w:val="Char Char Char Char Char Char1 Char Char Char1"/>
    <w:basedOn w:val="1"/>
    <w:qFormat/>
    <w:uiPriority w:val="0"/>
    <w:rPr>
      <w:szCs w:val="24"/>
    </w:rPr>
  </w:style>
  <w:style w:type="paragraph" w:customStyle="1" w:styleId="211">
    <w:name w:val="Char Char Char Char Char Char Char Char Char Char"/>
    <w:basedOn w:val="1"/>
    <w:qFormat/>
    <w:uiPriority w:val="0"/>
  </w:style>
  <w:style w:type="paragraph" w:customStyle="1" w:styleId="212">
    <w:name w:val="Char Char2 Char Char"/>
    <w:basedOn w:val="15"/>
    <w:qFormat/>
    <w:uiPriority w:val="0"/>
    <w:rPr>
      <w:rFonts w:ascii="Tahoma" w:hAnsi="Tahoma"/>
      <w:sz w:val="24"/>
      <w:szCs w:val="24"/>
    </w:rPr>
  </w:style>
  <w:style w:type="paragraph" w:customStyle="1" w:styleId="213">
    <w:name w:val="1"/>
    <w:basedOn w:val="1"/>
    <w:next w:val="1"/>
    <w:qFormat/>
    <w:uiPriority w:val="0"/>
    <w:rPr>
      <w:szCs w:val="24"/>
    </w:rPr>
  </w:style>
  <w:style w:type="paragraph" w:customStyle="1" w:styleId="214">
    <w:name w:val="p0"/>
    <w:basedOn w:val="1"/>
    <w:qFormat/>
    <w:uiPriority w:val="0"/>
    <w:pPr>
      <w:widowControl/>
    </w:pPr>
    <w:rPr>
      <w:kern w:val="0"/>
      <w:szCs w:val="21"/>
    </w:rPr>
  </w:style>
  <w:style w:type="paragraph" w:customStyle="1" w:styleId="21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bCs w:val="0"/>
      <w:sz w:val="28"/>
      <w:szCs w:val="20"/>
    </w:rPr>
  </w:style>
  <w:style w:type="paragraph" w:customStyle="1" w:styleId="216">
    <w:name w:val="Char Char Char Char Char Char Char Char Char"/>
    <w:basedOn w:val="1"/>
    <w:qFormat/>
    <w:uiPriority w:val="0"/>
    <w:rPr>
      <w:szCs w:val="24"/>
    </w:rPr>
  </w:style>
  <w:style w:type="paragraph" w:customStyle="1" w:styleId="217">
    <w:name w:val="默认段落字体 Para Char Char Char Char Char Char Char Char Char1 Char Char Char Char Char Char Char"/>
    <w:basedOn w:val="15"/>
    <w:qFormat/>
    <w:uiPriority w:val="0"/>
    <w:rPr>
      <w:rFonts w:ascii="Tahoma" w:hAnsi="Tahoma"/>
      <w:sz w:val="24"/>
      <w:szCs w:val="24"/>
    </w:rPr>
  </w:style>
  <w:style w:type="paragraph" w:customStyle="1" w:styleId="218">
    <w:name w:val="Char Char2"/>
    <w:basedOn w:val="15"/>
    <w:qFormat/>
    <w:uiPriority w:val="0"/>
    <w:rPr>
      <w:rFonts w:ascii="Tahoma" w:hAnsi="Tahoma"/>
      <w:sz w:val="24"/>
      <w:szCs w:val="24"/>
    </w:rPr>
  </w:style>
  <w:style w:type="paragraph" w:customStyle="1" w:styleId="219">
    <w:name w:val="Char Char Char Char Char Char1 Char Char Char Char Char Char Char Char Char Char Char Char Char Char Char Char Char Char Char Char Char Char Char Char"/>
    <w:basedOn w:val="1"/>
    <w:qFormat/>
    <w:uiPriority w:val="0"/>
    <w:rPr>
      <w:szCs w:val="24"/>
    </w:rPr>
  </w:style>
  <w:style w:type="paragraph" w:customStyle="1" w:styleId="220">
    <w:name w:val="Char Char Char Char Char Char1 Char Char Char Char Char Char Char Char Char Char Char Char Char1"/>
    <w:basedOn w:val="1"/>
    <w:qFormat/>
    <w:uiPriority w:val="0"/>
    <w:rPr>
      <w:szCs w:val="24"/>
    </w:rPr>
  </w:style>
  <w:style w:type="paragraph" w:customStyle="1" w:styleId="221">
    <w:name w:val="Address"/>
    <w:basedOn w:val="1"/>
    <w:next w:val="1"/>
    <w:qFormat/>
    <w:uiPriority w:val="0"/>
    <w:pPr>
      <w:autoSpaceDE w:val="0"/>
      <w:autoSpaceDN w:val="0"/>
      <w:adjustRightInd w:val="0"/>
      <w:jc w:val="left"/>
    </w:pPr>
    <w:rPr>
      <w:i/>
      <w:kern w:val="0"/>
      <w:sz w:val="24"/>
    </w:rPr>
  </w:style>
  <w:style w:type="table" w:customStyle="1" w:styleId="222">
    <w:name w:val="网格型1"/>
    <w:basedOn w:val="44"/>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23">
    <w:name w:val="标题 1 Char1"/>
    <w:qFormat/>
    <w:uiPriority w:val="0"/>
    <w:rPr>
      <w:rFonts w:ascii="Times New Roman" w:hAnsi="Times New Roman" w:eastAsia="宋体" w:cs="Times New Roman"/>
      <w:b/>
      <w:bCs/>
      <w:kern w:val="44"/>
      <w:sz w:val="32"/>
      <w:szCs w:val="44"/>
    </w:rPr>
  </w:style>
  <w:style w:type="paragraph" w:customStyle="1" w:styleId="224">
    <w:name w:val="B1"/>
    <w:basedOn w:val="1"/>
    <w:qFormat/>
    <w:uiPriority w:val="0"/>
    <w:pPr>
      <w:tabs>
        <w:tab w:val="left" w:pos="312"/>
        <w:tab w:val="left" w:pos="1418"/>
      </w:tabs>
      <w:adjustRightInd w:val="0"/>
      <w:spacing w:before="156"/>
      <w:ind w:left="1418" w:hanging="1418"/>
      <w:outlineLvl w:val="0"/>
    </w:pPr>
    <w:rPr>
      <w:rFonts w:ascii="Arial Narrow" w:hAnsi="Arial Narrow" w:eastAsia="仿宋"/>
      <w:b/>
      <w:sz w:val="28"/>
    </w:rPr>
  </w:style>
  <w:style w:type="paragraph" w:customStyle="1" w:styleId="225">
    <w:name w:val="Table Paragraph"/>
    <w:basedOn w:val="1"/>
    <w:qFormat/>
    <w:uiPriority w:val="1"/>
    <w:pPr>
      <w:autoSpaceDE w:val="0"/>
      <w:autoSpaceDN w:val="0"/>
      <w:adjustRightInd w:val="0"/>
      <w:jc w:val="left"/>
    </w:pPr>
    <w:rPr>
      <w:rFonts w:ascii="宋体" w:cs="宋体"/>
      <w:kern w:val="0"/>
      <w:sz w:val="24"/>
      <w:szCs w:val="24"/>
    </w:rPr>
  </w:style>
  <w:style w:type="character" w:customStyle="1" w:styleId="226">
    <w:name w:val="正文首行缩进 Char"/>
    <w:basedOn w:val="55"/>
    <w:link w:val="42"/>
    <w:qFormat/>
    <w:uiPriority w:val="0"/>
    <w:rPr>
      <w:rFonts w:ascii="Times New Roman" w:hAnsi="Times New Roman" w:cs="Times New Roman"/>
      <w:szCs w:val="20"/>
    </w:rPr>
  </w:style>
  <w:style w:type="paragraph" w:customStyle="1" w:styleId="227">
    <w:name w:val="__正文"/>
    <w:autoRedefine/>
    <w:qFormat/>
    <w:uiPriority w:val="0"/>
    <w:pPr>
      <w:spacing w:line="360" w:lineRule="auto"/>
      <w:ind w:firstLine="200" w:firstLineChars="200"/>
    </w:pPr>
    <w:rPr>
      <w:rFonts w:eastAsia="微软雅黑" w:asciiTheme="minorHAnsi" w:hAnsiTheme="minorHAnsi"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8073</Words>
  <Characters>8208</Characters>
  <Lines>198</Lines>
  <Paragraphs>55</Paragraphs>
  <TotalTime>0</TotalTime>
  <ScaleCrop>false</ScaleCrop>
  <LinksUpToDate>false</LinksUpToDate>
  <CharactersWithSpaces>8800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2024-11-18T02:49:00Z</dcterms:created>
  <dc:creator>lenovo</dc:creator>
  <cp:lastModifiedBy>果妈</cp:lastModifiedBy>
  <dcterms:modified xsi:type="dcterms:W3CDTF">2024-11-18T07:44:30Z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C586ADF39E1540C9B79CCE891DD33E9A_12</vt:lpwstr>
  </property>
</Properties>
</file>